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72412" w:rsidRPr="00B72B5F" w:rsidRDefault="00072412" w:rsidP="00014C20">
      <w:pPr>
        <w:rPr>
          <w:szCs w:val="22"/>
        </w:rPr>
      </w:pPr>
    </w:p>
    <w:p w:rsidR="00B72B5F" w:rsidRPr="00B72B5F" w:rsidRDefault="00B72B5F" w:rsidP="00014C20">
      <w:pPr>
        <w:rPr>
          <w:szCs w:val="22"/>
        </w:rPr>
      </w:pPr>
    </w:p>
    <w:p w:rsidR="00B6695E" w:rsidRPr="00B6695E" w:rsidRDefault="00B6695E" w:rsidP="00B6695E">
      <w:pPr>
        <w:jc w:val="center"/>
        <w:rPr>
          <w:b/>
          <w:szCs w:val="22"/>
        </w:rPr>
      </w:pPr>
      <w:r w:rsidRPr="00B6695E">
        <w:rPr>
          <w:b/>
          <w:szCs w:val="22"/>
        </w:rPr>
        <w:drawing>
          <wp:inline distT="0" distB="0" distL="0" distR="0">
            <wp:extent cx="4267200" cy="3162300"/>
            <wp:effectExtent l="114300" t="76200" r="95250" b="76200"/>
            <wp:docPr id="14" name="Imagen 2"/>
            <wp:cNvGraphicFramePr/>
            <a:graphic xmlns:a="http://schemas.openxmlformats.org/drawingml/2006/main">
              <a:graphicData uri="http://schemas.openxmlformats.org/drawingml/2006/picture">
                <pic:pic xmlns:pic="http://schemas.openxmlformats.org/drawingml/2006/picture">
                  <pic:nvPicPr>
                    <pic:cNvPr id="1026" name="Picture 2"/>
                    <pic:cNvPicPr>
                      <a:picLocks noGrp="1" noChangeAspect="1" noChangeArrowheads="1"/>
                    </pic:cNvPicPr>
                  </pic:nvPicPr>
                  <pic:blipFill>
                    <a:blip r:embed="rId8" cstate="print"/>
                    <a:srcRect l="8579" t="7260" r="15934" b="1192"/>
                    <a:stretch>
                      <a:fillRect/>
                    </a:stretch>
                  </pic:blipFill>
                  <pic:spPr bwMode="auto">
                    <a:xfrm>
                      <a:off x="0" y="0"/>
                      <a:ext cx="4267200" cy="31623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B72B5F" w:rsidRPr="00B6695E" w:rsidRDefault="00B72B5F" w:rsidP="00B6695E">
      <w:pPr>
        <w:rPr>
          <w:b/>
          <w:szCs w:val="22"/>
        </w:rPr>
      </w:pPr>
    </w:p>
    <w:p w:rsidR="00697AD8" w:rsidRDefault="005D6027" w:rsidP="00B613A7">
      <w:pPr>
        <w:jc w:val="center"/>
        <w:rPr>
          <w:rStyle w:val="CONTENIDO"/>
          <w:rFonts w:ascii="Arial Rounded MT Bold" w:eastAsia="Times New Roman" w:hAnsi="Arial Rounded MT Bold"/>
          <w:b/>
          <w:color w:val="214F75"/>
          <w:sz w:val="36"/>
          <w:szCs w:val="36"/>
          <w:lang w:val="es-ES"/>
        </w:rPr>
      </w:pPr>
      <w:r w:rsidRPr="005D6027">
        <w:rPr>
          <w:rStyle w:val="CONTENIDO"/>
          <w:rFonts w:ascii="Arial Rounded MT Bold" w:eastAsia="Times New Roman" w:hAnsi="Arial Rounded MT Bold"/>
          <w:b/>
          <w:color w:val="214F75"/>
          <w:sz w:val="36"/>
          <w:szCs w:val="36"/>
          <w:lang w:val="es-ES"/>
        </w:rPr>
        <w:t xml:space="preserve">MANEJO INTEGRADO DE LAS AGUAS </w:t>
      </w:r>
      <w:r w:rsidR="00A50DF0">
        <w:rPr>
          <w:rStyle w:val="CONTENIDO"/>
          <w:rFonts w:ascii="Arial Rounded MT Bold" w:eastAsia="Times New Roman" w:hAnsi="Arial Rounded MT Bold"/>
          <w:b/>
          <w:color w:val="214F75"/>
          <w:sz w:val="36"/>
          <w:szCs w:val="36"/>
          <w:lang w:val="es-ES"/>
        </w:rPr>
        <w:t>SUBTERRA</w:t>
      </w:r>
      <w:r w:rsidRPr="005D6027">
        <w:rPr>
          <w:rStyle w:val="CONTENIDO"/>
          <w:rFonts w:ascii="Arial Rounded MT Bold" w:eastAsia="Times New Roman" w:hAnsi="Arial Rounded MT Bold"/>
          <w:b/>
          <w:color w:val="214F75"/>
          <w:sz w:val="36"/>
          <w:szCs w:val="36"/>
          <w:lang w:val="es-ES"/>
        </w:rPr>
        <w:t>NEAS EN EL ACUÍFERO</w:t>
      </w:r>
      <w:r w:rsidR="006D35B9">
        <w:rPr>
          <w:rStyle w:val="CONTENIDO"/>
          <w:rFonts w:ascii="Arial Rounded MT Bold" w:eastAsia="Times New Roman" w:hAnsi="Arial Rounded MT Bold"/>
          <w:b/>
          <w:color w:val="214F75"/>
          <w:sz w:val="36"/>
          <w:szCs w:val="36"/>
          <w:lang w:val="es-ES"/>
        </w:rPr>
        <w:t xml:space="preserve"> </w:t>
      </w:r>
      <w:r w:rsidRPr="005D6027">
        <w:rPr>
          <w:rStyle w:val="CONTENIDO"/>
          <w:rFonts w:ascii="Arial Rounded MT Bold" w:eastAsia="Times New Roman" w:hAnsi="Arial Rounded MT Bold"/>
          <w:b/>
          <w:color w:val="214F75"/>
          <w:sz w:val="36"/>
          <w:szCs w:val="36"/>
          <w:lang w:val="es-ES"/>
        </w:rPr>
        <w:t>HUAMANTLA-LIBRES ORIENTAL-PEROTE, PUE Y VER.</w:t>
      </w:r>
    </w:p>
    <w:p w:rsidR="00C96435" w:rsidRPr="00B6695E" w:rsidRDefault="00C96435" w:rsidP="00B6695E">
      <w:pPr>
        <w:rPr>
          <w:smallCaps/>
        </w:rPr>
      </w:pPr>
    </w:p>
    <w:p w:rsidR="00D962D5" w:rsidRPr="00C96435" w:rsidRDefault="004642A1" w:rsidP="00B613A7">
      <w:pPr>
        <w:jc w:val="center"/>
        <w:rPr>
          <w:rStyle w:val="CONTENIDO"/>
          <w:rFonts w:ascii="Arial Black" w:eastAsia="Times New Roman" w:hAnsi="Arial Black"/>
          <w:color w:val="214F75"/>
          <w:sz w:val="40"/>
          <w:szCs w:val="40"/>
        </w:rPr>
      </w:pPr>
      <w:r>
        <w:rPr>
          <w:rStyle w:val="CONTENIDO"/>
          <w:rFonts w:ascii="Arial Black" w:eastAsia="Times New Roman" w:hAnsi="Arial Black"/>
          <w:color w:val="214F75"/>
          <w:sz w:val="40"/>
          <w:szCs w:val="40"/>
        </w:rPr>
        <w:t>Resumen Ejecutivo</w:t>
      </w:r>
    </w:p>
    <w:p w:rsidR="00A42474" w:rsidRPr="0031268D" w:rsidRDefault="00A42474" w:rsidP="00014C20"/>
    <w:p w:rsidR="009E444E" w:rsidRPr="00A9521C" w:rsidRDefault="009E444E" w:rsidP="00B613A7">
      <w:pPr>
        <w:jc w:val="center"/>
      </w:pPr>
      <w:r w:rsidRPr="0031268D">
        <w:t>Cont</w:t>
      </w:r>
      <w:r w:rsidR="005D6027">
        <w:t xml:space="preserve">rato No. </w:t>
      </w:r>
      <w:r w:rsidR="005D6027" w:rsidRPr="00A9521C">
        <w:t>SGT-OCB-PUE-09-P-113-RF-I3</w:t>
      </w:r>
    </w:p>
    <w:p w:rsidR="00EA0268" w:rsidRPr="00A9521C" w:rsidRDefault="00EA0268" w:rsidP="00014C20"/>
    <w:p w:rsidR="00EA0268" w:rsidRPr="00A9521C" w:rsidRDefault="00EA0268" w:rsidP="00014C20">
      <w:pPr>
        <w:rPr>
          <w:highlight w:val="red"/>
        </w:rPr>
        <w:sectPr w:rsidR="00EA0268" w:rsidRPr="00A9521C" w:rsidSect="001A683F">
          <w:headerReference w:type="default" r:id="rId9"/>
          <w:footerReference w:type="even" r:id="rId10"/>
          <w:footerReference w:type="default" r:id="rId11"/>
          <w:pgSz w:w="12240" w:h="15840" w:code="1"/>
          <w:pgMar w:top="1701" w:right="1134" w:bottom="1701" w:left="1418" w:header="851" w:footer="0" w:gutter="0"/>
          <w:pgNumType w:fmt="upperRoman" w:start="1"/>
          <w:cols w:space="708"/>
          <w:docGrid w:linePitch="360"/>
        </w:sectPr>
      </w:pPr>
    </w:p>
    <w:p w:rsidR="00D05378" w:rsidRDefault="00D05378" w:rsidP="0026694F">
      <w:pPr>
        <w:pStyle w:val="PORTADA"/>
      </w:pPr>
    </w:p>
    <w:p w:rsidR="00D05378" w:rsidRDefault="00D05378" w:rsidP="0026694F">
      <w:pPr>
        <w:pStyle w:val="PORTADA"/>
      </w:pPr>
    </w:p>
    <w:p w:rsidR="000273E6" w:rsidRPr="0026694F" w:rsidRDefault="000273E6" w:rsidP="0026694F">
      <w:pPr>
        <w:pStyle w:val="PORTADA"/>
      </w:pPr>
      <w:r w:rsidRPr="0026694F">
        <w:t>Contenido</w:t>
      </w:r>
    </w:p>
    <w:p w:rsidR="00D05378" w:rsidRDefault="00AC3939">
      <w:pPr>
        <w:pStyle w:val="TDC1"/>
        <w:tabs>
          <w:tab w:val="left" w:pos="720"/>
          <w:tab w:val="right" w:leader="dot" w:pos="9678"/>
        </w:tabs>
        <w:rPr>
          <w:rFonts w:asciiTheme="minorHAnsi" w:eastAsiaTheme="minorEastAsia" w:hAnsiTheme="minorHAnsi" w:cstheme="minorBidi"/>
          <w:b w:val="0"/>
          <w:bCs w:val="0"/>
          <w:caps w:val="0"/>
          <w:noProof/>
          <w:sz w:val="22"/>
          <w:szCs w:val="22"/>
          <w:lang w:eastAsia="es-MX"/>
        </w:rPr>
      </w:pPr>
      <w:r w:rsidRPr="00AC3939">
        <w:rPr>
          <w:u w:val="single"/>
        </w:rPr>
        <w:fldChar w:fldCharType="begin"/>
      </w:r>
      <w:r w:rsidR="005A0BB8">
        <w:rPr>
          <w:u w:val="single"/>
        </w:rPr>
        <w:instrText xml:space="preserve"> TOC \o "1-5" \f \h \z \t "Título de índice,1" </w:instrText>
      </w:r>
      <w:r w:rsidRPr="00AC3939">
        <w:rPr>
          <w:u w:val="single"/>
        </w:rPr>
        <w:fldChar w:fldCharType="separate"/>
      </w:r>
      <w:hyperlink w:anchor="_Toc283641762" w:history="1">
        <w:r w:rsidR="00D05378" w:rsidRPr="004B644E">
          <w:rPr>
            <w:rStyle w:val="Hipervnculo"/>
            <w:noProof/>
          </w:rPr>
          <w:t>1.</w:t>
        </w:r>
        <w:r w:rsidR="00D05378">
          <w:rPr>
            <w:rFonts w:asciiTheme="minorHAnsi" w:eastAsiaTheme="minorEastAsia" w:hAnsiTheme="minorHAnsi" w:cstheme="minorBidi"/>
            <w:b w:val="0"/>
            <w:bCs w:val="0"/>
            <w:caps w:val="0"/>
            <w:noProof/>
            <w:sz w:val="22"/>
            <w:szCs w:val="22"/>
            <w:lang w:eastAsia="es-MX"/>
          </w:rPr>
          <w:tab/>
        </w:r>
        <w:r w:rsidR="00D05378" w:rsidRPr="004B644E">
          <w:rPr>
            <w:rStyle w:val="Hipervnculo"/>
            <w:noProof/>
          </w:rPr>
          <w:t>Generalidades</w:t>
        </w:r>
        <w:r w:rsidR="00D05378">
          <w:rPr>
            <w:noProof/>
            <w:webHidden/>
          </w:rPr>
          <w:tab/>
        </w:r>
        <w:r w:rsidR="00D05378">
          <w:rPr>
            <w:noProof/>
            <w:webHidden/>
          </w:rPr>
          <w:fldChar w:fldCharType="begin"/>
        </w:r>
        <w:r w:rsidR="00D05378">
          <w:rPr>
            <w:noProof/>
            <w:webHidden/>
          </w:rPr>
          <w:instrText xml:space="preserve"> PAGEREF _Toc283641762 \h </w:instrText>
        </w:r>
        <w:r w:rsidR="00D05378">
          <w:rPr>
            <w:noProof/>
            <w:webHidden/>
          </w:rPr>
        </w:r>
        <w:r w:rsidR="00D05378">
          <w:rPr>
            <w:noProof/>
            <w:webHidden/>
          </w:rPr>
          <w:fldChar w:fldCharType="separate"/>
        </w:r>
        <w:r w:rsidR="00D05378">
          <w:rPr>
            <w:noProof/>
            <w:webHidden/>
          </w:rPr>
          <w:t>1</w:t>
        </w:r>
        <w:r w:rsidR="00D05378">
          <w:rPr>
            <w:noProof/>
            <w:webHidden/>
          </w:rPr>
          <w:fldChar w:fldCharType="end"/>
        </w:r>
      </w:hyperlink>
    </w:p>
    <w:p w:rsidR="00D05378" w:rsidRDefault="00D05378">
      <w:pPr>
        <w:pStyle w:val="TDC2"/>
        <w:tabs>
          <w:tab w:val="left" w:pos="1202"/>
          <w:tab w:val="right" w:leader="dot" w:pos="9678"/>
        </w:tabs>
        <w:rPr>
          <w:rFonts w:asciiTheme="minorHAnsi" w:eastAsiaTheme="minorEastAsia" w:hAnsiTheme="minorHAnsi" w:cstheme="minorBidi"/>
          <w:smallCaps w:val="0"/>
          <w:noProof/>
          <w:sz w:val="22"/>
          <w:szCs w:val="22"/>
          <w:lang w:eastAsia="es-MX"/>
        </w:rPr>
      </w:pPr>
      <w:hyperlink w:anchor="_Toc283641763" w:history="1">
        <w:r w:rsidRPr="004B644E">
          <w:rPr>
            <w:rStyle w:val="Hipervnculo"/>
            <w:noProof/>
          </w:rPr>
          <w:t>1.1</w:t>
        </w:r>
        <w:r>
          <w:rPr>
            <w:rFonts w:asciiTheme="minorHAnsi" w:eastAsiaTheme="minorEastAsia" w:hAnsiTheme="minorHAnsi" w:cstheme="minorBidi"/>
            <w:smallCaps w:val="0"/>
            <w:noProof/>
            <w:sz w:val="22"/>
            <w:szCs w:val="22"/>
            <w:lang w:eastAsia="es-MX"/>
          </w:rPr>
          <w:tab/>
        </w:r>
        <w:r w:rsidRPr="004B644E">
          <w:rPr>
            <w:rStyle w:val="Hipervnculo"/>
            <w:noProof/>
          </w:rPr>
          <w:t>Antecedentes</w:t>
        </w:r>
        <w:r>
          <w:rPr>
            <w:noProof/>
            <w:webHidden/>
          </w:rPr>
          <w:tab/>
        </w:r>
        <w:r>
          <w:rPr>
            <w:noProof/>
            <w:webHidden/>
          </w:rPr>
          <w:fldChar w:fldCharType="begin"/>
        </w:r>
        <w:r>
          <w:rPr>
            <w:noProof/>
            <w:webHidden/>
          </w:rPr>
          <w:instrText xml:space="preserve"> PAGEREF _Toc283641763 \h </w:instrText>
        </w:r>
        <w:r>
          <w:rPr>
            <w:noProof/>
            <w:webHidden/>
          </w:rPr>
        </w:r>
        <w:r>
          <w:rPr>
            <w:noProof/>
            <w:webHidden/>
          </w:rPr>
          <w:fldChar w:fldCharType="separate"/>
        </w:r>
        <w:r>
          <w:rPr>
            <w:noProof/>
            <w:webHidden/>
          </w:rPr>
          <w:t>1</w:t>
        </w:r>
        <w:r>
          <w:rPr>
            <w:noProof/>
            <w:webHidden/>
          </w:rPr>
          <w:fldChar w:fldCharType="end"/>
        </w:r>
      </w:hyperlink>
    </w:p>
    <w:p w:rsidR="00D05378" w:rsidRDefault="00D05378">
      <w:pPr>
        <w:pStyle w:val="TDC2"/>
        <w:tabs>
          <w:tab w:val="left" w:pos="1202"/>
          <w:tab w:val="right" w:leader="dot" w:pos="9678"/>
        </w:tabs>
        <w:rPr>
          <w:rFonts w:asciiTheme="minorHAnsi" w:eastAsiaTheme="minorEastAsia" w:hAnsiTheme="minorHAnsi" w:cstheme="minorBidi"/>
          <w:smallCaps w:val="0"/>
          <w:noProof/>
          <w:sz w:val="22"/>
          <w:szCs w:val="22"/>
          <w:lang w:eastAsia="es-MX"/>
        </w:rPr>
      </w:pPr>
      <w:hyperlink w:anchor="_Toc283641764" w:history="1">
        <w:r w:rsidRPr="004B644E">
          <w:rPr>
            <w:rStyle w:val="Hipervnculo"/>
            <w:noProof/>
          </w:rPr>
          <w:t>1.2</w:t>
        </w:r>
        <w:r>
          <w:rPr>
            <w:rFonts w:asciiTheme="minorHAnsi" w:eastAsiaTheme="minorEastAsia" w:hAnsiTheme="minorHAnsi" w:cstheme="minorBidi"/>
            <w:smallCaps w:val="0"/>
            <w:noProof/>
            <w:sz w:val="22"/>
            <w:szCs w:val="22"/>
            <w:lang w:eastAsia="es-MX"/>
          </w:rPr>
          <w:tab/>
        </w:r>
        <w:r w:rsidRPr="004B644E">
          <w:rPr>
            <w:rStyle w:val="Hipervnculo"/>
            <w:noProof/>
          </w:rPr>
          <w:t>Problemática</w:t>
        </w:r>
        <w:r>
          <w:rPr>
            <w:noProof/>
            <w:webHidden/>
          </w:rPr>
          <w:tab/>
        </w:r>
        <w:r>
          <w:rPr>
            <w:noProof/>
            <w:webHidden/>
          </w:rPr>
          <w:fldChar w:fldCharType="begin"/>
        </w:r>
        <w:r>
          <w:rPr>
            <w:noProof/>
            <w:webHidden/>
          </w:rPr>
          <w:instrText xml:space="preserve"> PAGEREF _Toc283641764 \h </w:instrText>
        </w:r>
        <w:r>
          <w:rPr>
            <w:noProof/>
            <w:webHidden/>
          </w:rPr>
        </w:r>
        <w:r>
          <w:rPr>
            <w:noProof/>
            <w:webHidden/>
          </w:rPr>
          <w:fldChar w:fldCharType="separate"/>
        </w:r>
        <w:r>
          <w:rPr>
            <w:noProof/>
            <w:webHidden/>
          </w:rPr>
          <w:t>2</w:t>
        </w:r>
        <w:r>
          <w:rPr>
            <w:noProof/>
            <w:webHidden/>
          </w:rPr>
          <w:fldChar w:fldCharType="end"/>
        </w:r>
      </w:hyperlink>
    </w:p>
    <w:p w:rsidR="00D05378" w:rsidRDefault="00D05378">
      <w:pPr>
        <w:pStyle w:val="TDC2"/>
        <w:tabs>
          <w:tab w:val="left" w:pos="1202"/>
          <w:tab w:val="right" w:leader="dot" w:pos="9678"/>
        </w:tabs>
        <w:rPr>
          <w:rFonts w:asciiTheme="minorHAnsi" w:eastAsiaTheme="minorEastAsia" w:hAnsiTheme="minorHAnsi" w:cstheme="minorBidi"/>
          <w:smallCaps w:val="0"/>
          <w:noProof/>
          <w:sz w:val="22"/>
          <w:szCs w:val="22"/>
          <w:lang w:eastAsia="es-MX"/>
        </w:rPr>
      </w:pPr>
      <w:hyperlink w:anchor="_Toc283641765" w:history="1">
        <w:r w:rsidRPr="004B644E">
          <w:rPr>
            <w:rStyle w:val="Hipervnculo"/>
            <w:noProof/>
          </w:rPr>
          <w:t>1.3</w:t>
        </w:r>
        <w:r>
          <w:rPr>
            <w:rFonts w:asciiTheme="minorHAnsi" w:eastAsiaTheme="minorEastAsia" w:hAnsiTheme="minorHAnsi" w:cstheme="minorBidi"/>
            <w:smallCaps w:val="0"/>
            <w:noProof/>
            <w:sz w:val="22"/>
            <w:szCs w:val="22"/>
            <w:lang w:eastAsia="es-MX"/>
          </w:rPr>
          <w:tab/>
        </w:r>
        <w:r w:rsidRPr="004B644E">
          <w:rPr>
            <w:rStyle w:val="Hipervnculo"/>
            <w:noProof/>
          </w:rPr>
          <w:t>Objetivos del Plan de Manejo</w:t>
        </w:r>
        <w:r>
          <w:rPr>
            <w:noProof/>
            <w:webHidden/>
          </w:rPr>
          <w:tab/>
        </w:r>
        <w:r>
          <w:rPr>
            <w:noProof/>
            <w:webHidden/>
          </w:rPr>
          <w:fldChar w:fldCharType="begin"/>
        </w:r>
        <w:r>
          <w:rPr>
            <w:noProof/>
            <w:webHidden/>
          </w:rPr>
          <w:instrText xml:space="preserve"> PAGEREF _Toc283641765 \h </w:instrText>
        </w:r>
        <w:r>
          <w:rPr>
            <w:noProof/>
            <w:webHidden/>
          </w:rPr>
        </w:r>
        <w:r>
          <w:rPr>
            <w:noProof/>
            <w:webHidden/>
          </w:rPr>
          <w:fldChar w:fldCharType="separate"/>
        </w:r>
        <w:r>
          <w:rPr>
            <w:noProof/>
            <w:webHidden/>
          </w:rPr>
          <w:t>2</w:t>
        </w:r>
        <w:r>
          <w:rPr>
            <w:noProof/>
            <w:webHidden/>
          </w:rPr>
          <w:fldChar w:fldCharType="end"/>
        </w:r>
      </w:hyperlink>
    </w:p>
    <w:p w:rsidR="00D05378" w:rsidRDefault="00D05378">
      <w:pPr>
        <w:pStyle w:val="TDC1"/>
        <w:tabs>
          <w:tab w:val="left" w:pos="720"/>
          <w:tab w:val="right" w:leader="dot" w:pos="9678"/>
        </w:tabs>
        <w:rPr>
          <w:rFonts w:asciiTheme="minorHAnsi" w:eastAsiaTheme="minorEastAsia" w:hAnsiTheme="minorHAnsi" w:cstheme="minorBidi"/>
          <w:b w:val="0"/>
          <w:bCs w:val="0"/>
          <w:caps w:val="0"/>
          <w:noProof/>
          <w:sz w:val="22"/>
          <w:szCs w:val="22"/>
          <w:lang w:eastAsia="es-MX"/>
        </w:rPr>
      </w:pPr>
      <w:hyperlink w:anchor="_Toc283641766" w:history="1">
        <w:r w:rsidRPr="004B644E">
          <w:rPr>
            <w:rStyle w:val="Hipervnculo"/>
            <w:noProof/>
          </w:rPr>
          <w:t>2.</w:t>
        </w:r>
        <w:r>
          <w:rPr>
            <w:rFonts w:asciiTheme="minorHAnsi" w:eastAsiaTheme="minorEastAsia" w:hAnsiTheme="minorHAnsi" w:cstheme="minorBidi"/>
            <w:b w:val="0"/>
            <w:bCs w:val="0"/>
            <w:caps w:val="0"/>
            <w:noProof/>
            <w:sz w:val="22"/>
            <w:szCs w:val="22"/>
            <w:lang w:eastAsia="es-MX"/>
          </w:rPr>
          <w:tab/>
        </w:r>
        <w:r w:rsidRPr="004B644E">
          <w:rPr>
            <w:rStyle w:val="Hipervnculo"/>
            <w:noProof/>
          </w:rPr>
          <w:t>Situación actual</w:t>
        </w:r>
        <w:r>
          <w:rPr>
            <w:noProof/>
            <w:webHidden/>
          </w:rPr>
          <w:tab/>
        </w:r>
        <w:r>
          <w:rPr>
            <w:noProof/>
            <w:webHidden/>
          </w:rPr>
          <w:fldChar w:fldCharType="begin"/>
        </w:r>
        <w:r>
          <w:rPr>
            <w:noProof/>
            <w:webHidden/>
          </w:rPr>
          <w:instrText xml:space="preserve"> PAGEREF _Toc283641766 \h </w:instrText>
        </w:r>
        <w:r>
          <w:rPr>
            <w:noProof/>
            <w:webHidden/>
          </w:rPr>
        </w:r>
        <w:r>
          <w:rPr>
            <w:noProof/>
            <w:webHidden/>
          </w:rPr>
          <w:fldChar w:fldCharType="separate"/>
        </w:r>
        <w:r>
          <w:rPr>
            <w:noProof/>
            <w:webHidden/>
          </w:rPr>
          <w:t>3</w:t>
        </w:r>
        <w:r>
          <w:rPr>
            <w:noProof/>
            <w:webHidden/>
          </w:rPr>
          <w:fldChar w:fldCharType="end"/>
        </w:r>
      </w:hyperlink>
    </w:p>
    <w:p w:rsidR="00D05378" w:rsidRDefault="00D05378">
      <w:pPr>
        <w:pStyle w:val="TDC2"/>
        <w:tabs>
          <w:tab w:val="left" w:pos="1202"/>
          <w:tab w:val="right" w:leader="dot" w:pos="9678"/>
        </w:tabs>
        <w:rPr>
          <w:rFonts w:asciiTheme="minorHAnsi" w:eastAsiaTheme="minorEastAsia" w:hAnsiTheme="minorHAnsi" w:cstheme="minorBidi"/>
          <w:smallCaps w:val="0"/>
          <w:noProof/>
          <w:sz w:val="22"/>
          <w:szCs w:val="22"/>
          <w:lang w:eastAsia="es-MX"/>
        </w:rPr>
      </w:pPr>
      <w:hyperlink w:anchor="_Toc283641767" w:history="1">
        <w:r w:rsidRPr="004B644E">
          <w:rPr>
            <w:rStyle w:val="Hipervnculo"/>
            <w:noProof/>
          </w:rPr>
          <w:t>2.1.</w:t>
        </w:r>
        <w:r>
          <w:rPr>
            <w:rFonts w:asciiTheme="minorHAnsi" w:eastAsiaTheme="minorEastAsia" w:hAnsiTheme="minorHAnsi" w:cstheme="minorBidi"/>
            <w:smallCaps w:val="0"/>
            <w:noProof/>
            <w:sz w:val="22"/>
            <w:szCs w:val="22"/>
            <w:lang w:eastAsia="es-MX"/>
          </w:rPr>
          <w:tab/>
        </w:r>
        <w:r w:rsidRPr="004B644E">
          <w:rPr>
            <w:rStyle w:val="Hipervnculo"/>
            <w:noProof/>
          </w:rPr>
          <w:t>Población y desarrollo socioeconómico</w:t>
        </w:r>
        <w:r>
          <w:rPr>
            <w:noProof/>
            <w:webHidden/>
          </w:rPr>
          <w:tab/>
        </w:r>
        <w:r>
          <w:rPr>
            <w:noProof/>
            <w:webHidden/>
          </w:rPr>
          <w:fldChar w:fldCharType="begin"/>
        </w:r>
        <w:r>
          <w:rPr>
            <w:noProof/>
            <w:webHidden/>
          </w:rPr>
          <w:instrText xml:space="preserve"> PAGEREF _Toc283641767 \h </w:instrText>
        </w:r>
        <w:r>
          <w:rPr>
            <w:noProof/>
            <w:webHidden/>
          </w:rPr>
        </w:r>
        <w:r>
          <w:rPr>
            <w:noProof/>
            <w:webHidden/>
          </w:rPr>
          <w:fldChar w:fldCharType="separate"/>
        </w:r>
        <w:r>
          <w:rPr>
            <w:noProof/>
            <w:webHidden/>
          </w:rPr>
          <w:t>3</w:t>
        </w:r>
        <w:r>
          <w:rPr>
            <w:noProof/>
            <w:webHidden/>
          </w:rPr>
          <w:fldChar w:fldCharType="end"/>
        </w:r>
      </w:hyperlink>
    </w:p>
    <w:p w:rsidR="00D05378" w:rsidRDefault="00D05378">
      <w:pPr>
        <w:pStyle w:val="TDC2"/>
        <w:tabs>
          <w:tab w:val="left" w:pos="1202"/>
          <w:tab w:val="right" w:leader="dot" w:pos="9678"/>
        </w:tabs>
        <w:rPr>
          <w:rFonts w:asciiTheme="minorHAnsi" w:eastAsiaTheme="minorEastAsia" w:hAnsiTheme="minorHAnsi" w:cstheme="minorBidi"/>
          <w:smallCaps w:val="0"/>
          <w:noProof/>
          <w:sz w:val="22"/>
          <w:szCs w:val="22"/>
          <w:lang w:eastAsia="es-MX"/>
        </w:rPr>
      </w:pPr>
      <w:hyperlink w:anchor="_Toc283641768" w:history="1">
        <w:r w:rsidRPr="004B644E">
          <w:rPr>
            <w:rStyle w:val="Hipervnculo"/>
            <w:noProof/>
          </w:rPr>
          <w:t>2.2.</w:t>
        </w:r>
        <w:r>
          <w:rPr>
            <w:rFonts w:asciiTheme="minorHAnsi" w:eastAsiaTheme="minorEastAsia" w:hAnsiTheme="minorHAnsi" w:cstheme="minorBidi"/>
            <w:smallCaps w:val="0"/>
            <w:noProof/>
            <w:sz w:val="22"/>
            <w:szCs w:val="22"/>
            <w:lang w:eastAsia="es-MX"/>
          </w:rPr>
          <w:tab/>
        </w:r>
        <w:r w:rsidRPr="004B644E">
          <w:rPr>
            <w:rStyle w:val="Hipervnculo"/>
            <w:noProof/>
          </w:rPr>
          <w:t>Climatología</w:t>
        </w:r>
        <w:r>
          <w:rPr>
            <w:noProof/>
            <w:webHidden/>
          </w:rPr>
          <w:tab/>
        </w:r>
        <w:r>
          <w:rPr>
            <w:noProof/>
            <w:webHidden/>
          </w:rPr>
          <w:fldChar w:fldCharType="begin"/>
        </w:r>
        <w:r>
          <w:rPr>
            <w:noProof/>
            <w:webHidden/>
          </w:rPr>
          <w:instrText xml:space="preserve"> PAGEREF _Toc283641768 \h </w:instrText>
        </w:r>
        <w:r>
          <w:rPr>
            <w:noProof/>
            <w:webHidden/>
          </w:rPr>
        </w:r>
        <w:r>
          <w:rPr>
            <w:noProof/>
            <w:webHidden/>
          </w:rPr>
          <w:fldChar w:fldCharType="separate"/>
        </w:r>
        <w:r>
          <w:rPr>
            <w:noProof/>
            <w:webHidden/>
          </w:rPr>
          <w:t>4</w:t>
        </w:r>
        <w:r>
          <w:rPr>
            <w:noProof/>
            <w:webHidden/>
          </w:rPr>
          <w:fldChar w:fldCharType="end"/>
        </w:r>
      </w:hyperlink>
    </w:p>
    <w:p w:rsidR="00D05378" w:rsidRDefault="00D05378">
      <w:pPr>
        <w:pStyle w:val="TDC2"/>
        <w:tabs>
          <w:tab w:val="left" w:pos="1202"/>
          <w:tab w:val="right" w:leader="dot" w:pos="9678"/>
        </w:tabs>
        <w:rPr>
          <w:rFonts w:asciiTheme="minorHAnsi" w:eastAsiaTheme="minorEastAsia" w:hAnsiTheme="minorHAnsi" w:cstheme="minorBidi"/>
          <w:smallCaps w:val="0"/>
          <w:noProof/>
          <w:sz w:val="22"/>
          <w:szCs w:val="22"/>
          <w:lang w:eastAsia="es-MX"/>
        </w:rPr>
      </w:pPr>
      <w:hyperlink w:anchor="_Toc283641769" w:history="1">
        <w:r w:rsidRPr="004B644E">
          <w:rPr>
            <w:rStyle w:val="Hipervnculo"/>
            <w:noProof/>
          </w:rPr>
          <w:t>2.3.</w:t>
        </w:r>
        <w:r>
          <w:rPr>
            <w:rFonts w:asciiTheme="minorHAnsi" w:eastAsiaTheme="minorEastAsia" w:hAnsiTheme="minorHAnsi" w:cstheme="minorBidi"/>
            <w:smallCaps w:val="0"/>
            <w:noProof/>
            <w:sz w:val="22"/>
            <w:szCs w:val="22"/>
            <w:lang w:eastAsia="es-MX"/>
          </w:rPr>
          <w:tab/>
        </w:r>
        <w:r w:rsidRPr="004B644E">
          <w:rPr>
            <w:rStyle w:val="Hipervnculo"/>
            <w:noProof/>
          </w:rPr>
          <w:t>Aguas subterráneas</w:t>
        </w:r>
        <w:r>
          <w:rPr>
            <w:noProof/>
            <w:webHidden/>
          </w:rPr>
          <w:tab/>
        </w:r>
        <w:r>
          <w:rPr>
            <w:noProof/>
            <w:webHidden/>
          </w:rPr>
          <w:fldChar w:fldCharType="begin"/>
        </w:r>
        <w:r>
          <w:rPr>
            <w:noProof/>
            <w:webHidden/>
          </w:rPr>
          <w:instrText xml:space="preserve"> PAGEREF _Toc283641769 \h </w:instrText>
        </w:r>
        <w:r>
          <w:rPr>
            <w:noProof/>
            <w:webHidden/>
          </w:rPr>
        </w:r>
        <w:r>
          <w:rPr>
            <w:noProof/>
            <w:webHidden/>
          </w:rPr>
          <w:fldChar w:fldCharType="separate"/>
        </w:r>
        <w:r>
          <w:rPr>
            <w:noProof/>
            <w:webHidden/>
          </w:rPr>
          <w:t>5</w:t>
        </w:r>
        <w:r>
          <w:rPr>
            <w:noProof/>
            <w:webHidden/>
          </w:rPr>
          <w:fldChar w:fldCharType="end"/>
        </w:r>
      </w:hyperlink>
    </w:p>
    <w:p w:rsidR="00D05378" w:rsidRDefault="00D05378">
      <w:pPr>
        <w:pStyle w:val="TDC1"/>
        <w:tabs>
          <w:tab w:val="left" w:pos="720"/>
          <w:tab w:val="right" w:leader="dot" w:pos="9678"/>
        </w:tabs>
        <w:rPr>
          <w:rFonts w:asciiTheme="minorHAnsi" w:eastAsiaTheme="minorEastAsia" w:hAnsiTheme="minorHAnsi" w:cstheme="minorBidi"/>
          <w:b w:val="0"/>
          <w:bCs w:val="0"/>
          <w:caps w:val="0"/>
          <w:noProof/>
          <w:sz w:val="22"/>
          <w:szCs w:val="22"/>
          <w:lang w:eastAsia="es-MX"/>
        </w:rPr>
      </w:pPr>
      <w:hyperlink w:anchor="_Toc283641770" w:history="1">
        <w:r w:rsidRPr="004B644E">
          <w:rPr>
            <w:rStyle w:val="Hipervnculo"/>
            <w:noProof/>
          </w:rPr>
          <w:t>3.</w:t>
        </w:r>
        <w:r>
          <w:rPr>
            <w:rFonts w:asciiTheme="minorHAnsi" w:eastAsiaTheme="minorEastAsia" w:hAnsiTheme="minorHAnsi" w:cstheme="minorBidi"/>
            <w:b w:val="0"/>
            <w:bCs w:val="0"/>
            <w:caps w:val="0"/>
            <w:noProof/>
            <w:sz w:val="22"/>
            <w:szCs w:val="22"/>
            <w:lang w:eastAsia="es-MX"/>
          </w:rPr>
          <w:tab/>
        </w:r>
        <w:r w:rsidRPr="004B644E">
          <w:rPr>
            <w:rStyle w:val="Hipervnculo"/>
            <w:noProof/>
          </w:rPr>
          <w:t>Caracterización y proyección de la demanda</w:t>
        </w:r>
        <w:r>
          <w:rPr>
            <w:noProof/>
            <w:webHidden/>
          </w:rPr>
          <w:tab/>
        </w:r>
        <w:r>
          <w:rPr>
            <w:noProof/>
            <w:webHidden/>
          </w:rPr>
          <w:fldChar w:fldCharType="begin"/>
        </w:r>
        <w:r>
          <w:rPr>
            <w:noProof/>
            <w:webHidden/>
          </w:rPr>
          <w:instrText xml:space="preserve"> PAGEREF _Toc283641770 \h </w:instrText>
        </w:r>
        <w:r>
          <w:rPr>
            <w:noProof/>
            <w:webHidden/>
          </w:rPr>
        </w:r>
        <w:r>
          <w:rPr>
            <w:noProof/>
            <w:webHidden/>
          </w:rPr>
          <w:fldChar w:fldCharType="separate"/>
        </w:r>
        <w:r>
          <w:rPr>
            <w:noProof/>
            <w:webHidden/>
          </w:rPr>
          <w:t>7</w:t>
        </w:r>
        <w:r>
          <w:rPr>
            <w:noProof/>
            <w:webHidden/>
          </w:rPr>
          <w:fldChar w:fldCharType="end"/>
        </w:r>
      </w:hyperlink>
    </w:p>
    <w:p w:rsidR="00D05378" w:rsidRDefault="00D05378">
      <w:pPr>
        <w:pStyle w:val="TDC1"/>
        <w:tabs>
          <w:tab w:val="left" w:pos="720"/>
          <w:tab w:val="right" w:leader="dot" w:pos="9678"/>
        </w:tabs>
        <w:rPr>
          <w:rFonts w:asciiTheme="minorHAnsi" w:eastAsiaTheme="minorEastAsia" w:hAnsiTheme="minorHAnsi" w:cstheme="minorBidi"/>
          <w:b w:val="0"/>
          <w:bCs w:val="0"/>
          <w:caps w:val="0"/>
          <w:noProof/>
          <w:sz w:val="22"/>
          <w:szCs w:val="22"/>
          <w:lang w:eastAsia="es-MX"/>
        </w:rPr>
      </w:pPr>
      <w:hyperlink w:anchor="_Toc283641771" w:history="1">
        <w:r w:rsidRPr="004B644E">
          <w:rPr>
            <w:rStyle w:val="Hipervnculo"/>
            <w:noProof/>
          </w:rPr>
          <w:t>4.</w:t>
        </w:r>
        <w:r>
          <w:rPr>
            <w:rFonts w:asciiTheme="minorHAnsi" w:eastAsiaTheme="minorEastAsia" w:hAnsiTheme="minorHAnsi" w:cstheme="minorBidi"/>
            <w:b w:val="0"/>
            <w:bCs w:val="0"/>
            <w:caps w:val="0"/>
            <w:noProof/>
            <w:sz w:val="22"/>
            <w:szCs w:val="22"/>
            <w:lang w:eastAsia="es-MX"/>
          </w:rPr>
          <w:tab/>
        </w:r>
        <w:r w:rsidRPr="004B644E">
          <w:rPr>
            <w:rStyle w:val="Hipervnculo"/>
            <w:noProof/>
          </w:rPr>
          <w:t>Caracterización y proyección de la disponibilidad</w:t>
        </w:r>
        <w:r>
          <w:rPr>
            <w:noProof/>
            <w:webHidden/>
          </w:rPr>
          <w:tab/>
        </w:r>
        <w:r>
          <w:rPr>
            <w:noProof/>
            <w:webHidden/>
          </w:rPr>
          <w:fldChar w:fldCharType="begin"/>
        </w:r>
        <w:r>
          <w:rPr>
            <w:noProof/>
            <w:webHidden/>
          </w:rPr>
          <w:instrText xml:space="preserve"> PAGEREF _Toc283641771 \h </w:instrText>
        </w:r>
        <w:r>
          <w:rPr>
            <w:noProof/>
            <w:webHidden/>
          </w:rPr>
        </w:r>
        <w:r>
          <w:rPr>
            <w:noProof/>
            <w:webHidden/>
          </w:rPr>
          <w:fldChar w:fldCharType="separate"/>
        </w:r>
        <w:r>
          <w:rPr>
            <w:noProof/>
            <w:webHidden/>
          </w:rPr>
          <w:t>8</w:t>
        </w:r>
        <w:r>
          <w:rPr>
            <w:noProof/>
            <w:webHidden/>
          </w:rPr>
          <w:fldChar w:fldCharType="end"/>
        </w:r>
      </w:hyperlink>
    </w:p>
    <w:p w:rsidR="00D05378" w:rsidRDefault="00D05378">
      <w:pPr>
        <w:pStyle w:val="TDC4"/>
        <w:tabs>
          <w:tab w:val="right" w:leader="dot" w:pos="9678"/>
        </w:tabs>
        <w:rPr>
          <w:rFonts w:asciiTheme="minorHAnsi" w:eastAsiaTheme="minorEastAsia" w:hAnsiTheme="minorHAnsi" w:cstheme="minorBidi"/>
          <w:noProof/>
          <w:sz w:val="22"/>
          <w:szCs w:val="22"/>
          <w:lang w:eastAsia="es-MX"/>
        </w:rPr>
      </w:pPr>
      <w:hyperlink w:anchor="_Toc283641772" w:history="1">
        <w:r w:rsidRPr="004B644E">
          <w:rPr>
            <w:rStyle w:val="Hipervnculo"/>
            <w:noProof/>
          </w:rPr>
          <w:t>Proyección de la oferta de agua</w:t>
        </w:r>
        <w:r>
          <w:rPr>
            <w:noProof/>
            <w:webHidden/>
          </w:rPr>
          <w:tab/>
        </w:r>
        <w:r>
          <w:rPr>
            <w:noProof/>
            <w:webHidden/>
          </w:rPr>
          <w:fldChar w:fldCharType="begin"/>
        </w:r>
        <w:r>
          <w:rPr>
            <w:noProof/>
            <w:webHidden/>
          </w:rPr>
          <w:instrText xml:space="preserve"> PAGEREF _Toc283641772 \h </w:instrText>
        </w:r>
        <w:r>
          <w:rPr>
            <w:noProof/>
            <w:webHidden/>
          </w:rPr>
        </w:r>
        <w:r>
          <w:rPr>
            <w:noProof/>
            <w:webHidden/>
          </w:rPr>
          <w:fldChar w:fldCharType="separate"/>
        </w:r>
        <w:r>
          <w:rPr>
            <w:noProof/>
            <w:webHidden/>
          </w:rPr>
          <w:t>8</w:t>
        </w:r>
        <w:r>
          <w:rPr>
            <w:noProof/>
            <w:webHidden/>
          </w:rPr>
          <w:fldChar w:fldCharType="end"/>
        </w:r>
      </w:hyperlink>
    </w:p>
    <w:p w:rsidR="00D05378" w:rsidRDefault="00D05378">
      <w:pPr>
        <w:pStyle w:val="TDC5"/>
        <w:tabs>
          <w:tab w:val="right" w:leader="dot" w:pos="9678"/>
        </w:tabs>
        <w:rPr>
          <w:rFonts w:asciiTheme="minorHAnsi" w:eastAsiaTheme="minorEastAsia" w:hAnsiTheme="minorHAnsi" w:cstheme="minorBidi"/>
          <w:noProof/>
          <w:sz w:val="22"/>
          <w:szCs w:val="22"/>
          <w:lang w:eastAsia="es-MX"/>
        </w:rPr>
      </w:pPr>
      <w:hyperlink w:anchor="_Toc283641773" w:history="1">
        <w:r w:rsidRPr="004B644E">
          <w:rPr>
            <w:rStyle w:val="Hipervnculo"/>
            <w:noProof/>
          </w:rPr>
          <w:t>Escenario inercial. Oferta total de agua aprovechable</w:t>
        </w:r>
        <w:r>
          <w:rPr>
            <w:noProof/>
            <w:webHidden/>
          </w:rPr>
          <w:tab/>
        </w:r>
        <w:r>
          <w:rPr>
            <w:noProof/>
            <w:webHidden/>
          </w:rPr>
          <w:fldChar w:fldCharType="begin"/>
        </w:r>
        <w:r>
          <w:rPr>
            <w:noProof/>
            <w:webHidden/>
          </w:rPr>
          <w:instrText xml:space="preserve"> PAGEREF _Toc283641773 \h </w:instrText>
        </w:r>
        <w:r>
          <w:rPr>
            <w:noProof/>
            <w:webHidden/>
          </w:rPr>
        </w:r>
        <w:r>
          <w:rPr>
            <w:noProof/>
            <w:webHidden/>
          </w:rPr>
          <w:fldChar w:fldCharType="separate"/>
        </w:r>
        <w:r>
          <w:rPr>
            <w:noProof/>
            <w:webHidden/>
          </w:rPr>
          <w:t>8</w:t>
        </w:r>
        <w:r>
          <w:rPr>
            <w:noProof/>
            <w:webHidden/>
          </w:rPr>
          <w:fldChar w:fldCharType="end"/>
        </w:r>
      </w:hyperlink>
    </w:p>
    <w:p w:rsidR="00D05378" w:rsidRDefault="00D05378">
      <w:pPr>
        <w:pStyle w:val="TDC5"/>
        <w:tabs>
          <w:tab w:val="right" w:leader="dot" w:pos="9678"/>
        </w:tabs>
        <w:rPr>
          <w:rFonts w:asciiTheme="minorHAnsi" w:eastAsiaTheme="minorEastAsia" w:hAnsiTheme="minorHAnsi" w:cstheme="minorBidi"/>
          <w:noProof/>
          <w:sz w:val="22"/>
          <w:szCs w:val="22"/>
          <w:lang w:eastAsia="es-MX"/>
        </w:rPr>
      </w:pPr>
      <w:hyperlink w:anchor="_Toc283641774" w:history="1">
        <w:r w:rsidRPr="004B644E">
          <w:rPr>
            <w:rStyle w:val="Hipervnculo"/>
            <w:noProof/>
          </w:rPr>
          <w:t>Escenario de máxima tecnificación (sustentable). Oferta total de agua aprovechable</w:t>
        </w:r>
        <w:r>
          <w:rPr>
            <w:noProof/>
            <w:webHidden/>
          </w:rPr>
          <w:tab/>
        </w:r>
        <w:r>
          <w:rPr>
            <w:noProof/>
            <w:webHidden/>
          </w:rPr>
          <w:fldChar w:fldCharType="begin"/>
        </w:r>
        <w:r>
          <w:rPr>
            <w:noProof/>
            <w:webHidden/>
          </w:rPr>
          <w:instrText xml:space="preserve"> PAGEREF _Toc283641774 \h </w:instrText>
        </w:r>
        <w:r>
          <w:rPr>
            <w:noProof/>
            <w:webHidden/>
          </w:rPr>
        </w:r>
        <w:r>
          <w:rPr>
            <w:noProof/>
            <w:webHidden/>
          </w:rPr>
          <w:fldChar w:fldCharType="separate"/>
        </w:r>
        <w:r>
          <w:rPr>
            <w:noProof/>
            <w:webHidden/>
          </w:rPr>
          <w:t>8</w:t>
        </w:r>
        <w:r>
          <w:rPr>
            <w:noProof/>
            <w:webHidden/>
          </w:rPr>
          <w:fldChar w:fldCharType="end"/>
        </w:r>
      </w:hyperlink>
    </w:p>
    <w:p w:rsidR="00D05378" w:rsidRDefault="00D05378">
      <w:pPr>
        <w:pStyle w:val="TDC1"/>
        <w:tabs>
          <w:tab w:val="left" w:pos="720"/>
          <w:tab w:val="right" w:leader="dot" w:pos="9678"/>
        </w:tabs>
        <w:rPr>
          <w:rFonts w:asciiTheme="minorHAnsi" w:eastAsiaTheme="minorEastAsia" w:hAnsiTheme="minorHAnsi" w:cstheme="minorBidi"/>
          <w:b w:val="0"/>
          <w:bCs w:val="0"/>
          <w:caps w:val="0"/>
          <w:noProof/>
          <w:sz w:val="22"/>
          <w:szCs w:val="22"/>
          <w:lang w:eastAsia="es-MX"/>
        </w:rPr>
      </w:pPr>
      <w:hyperlink w:anchor="_Toc283641775" w:history="1">
        <w:r w:rsidRPr="004B644E">
          <w:rPr>
            <w:rStyle w:val="Hipervnculo"/>
            <w:noProof/>
          </w:rPr>
          <w:t>5.</w:t>
        </w:r>
        <w:r>
          <w:rPr>
            <w:rFonts w:asciiTheme="minorHAnsi" w:eastAsiaTheme="minorEastAsia" w:hAnsiTheme="minorHAnsi" w:cstheme="minorBidi"/>
            <w:b w:val="0"/>
            <w:bCs w:val="0"/>
            <w:caps w:val="0"/>
            <w:noProof/>
            <w:sz w:val="22"/>
            <w:szCs w:val="22"/>
            <w:lang w:eastAsia="es-MX"/>
          </w:rPr>
          <w:tab/>
        </w:r>
        <w:r w:rsidRPr="004B644E">
          <w:rPr>
            <w:rStyle w:val="Hipervnculo"/>
            <w:noProof/>
          </w:rPr>
          <w:t>Modelo de Simulación de Flujo</w:t>
        </w:r>
        <w:r>
          <w:rPr>
            <w:noProof/>
            <w:webHidden/>
          </w:rPr>
          <w:tab/>
        </w:r>
        <w:r>
          <w:rPr>
            <w:noProof/>
            <w:webHidden/>
          </w:rPr>
          <w:fldChar w:fldCharType="begin"/>
        </w:r>
        <w:r>
          <w:rPr>
            <w:noProof/>
            <w:webHidden/>
          </w:rPr>
          <w:instrText xml:space="preserve"> PAGEREF _Toc283641775 \h </w:instrText>
        </w:r>
        <w:r>
          <w:rPr>
            <w:noProof/>
            <w:webHidden/>
          </w:rPr>
        </w:r>
        <w:r>
          <w:rPr>
            <w:noProof/>
            <w:webHidden/>
          </w:rPr>
          <w:fldChar w:fldCharType="separate"/>
        </w:r>
        <w:r>
          <w:rPr>
            <w:noProof/>
            <w:webHidden/>
          </w:rPr>
          <w:t>9</w:t>
        </w:r>
        <w:r>
          <w:rPr>
            <w:noProof/>
            <w:webHidden/>
          </w:rPr>
          <w:fldChar w:fldCharType="end"/>
        </w:r>
      </w:hyperlink>
    </w:p>
    <w:p w:rsidR="00D05378" w:rsidRDefault="00D05378">
      <w:pPr>
        <w:pStyle w:val="TDC1"/>
        <w:tabs>
          <w:tab w:val="left" w:pos="720"/>
          <w:tab w:val="right" w:leader="dot" w:pos="9678"/>
        </w:tabs>
        <w:rPr>
          <w:rFonts w:asciiTheme="minorHAnsi" w:eastAsiaTheme="minorEastAsia" w:hAnsiTheme="minorHAnsi" w:cstheme="minorBidi"/>
          <w:b w:val="0"/>
          <w:bCs w:val="0"/>
          <w:caps w:val="0"/>
          <w:noProof/>
          <w:sz w:val="22"/>
          <w:szCs w:val="22"/>
          <w:lang w:eastAsia="es-MX"/>
        </w:rPr>
      </w:pPr>
      <w:hyperlink w:anchor="_Toc283641776" w:history="1">
        <w:r w:rsidRPr="004B644E">
          <w:rPr>
            <w:rStyle w:val="Hipervnculo"/>
            <w:noProof/>
          </w:rPr>
          <w:t>6.</w:t>
        </w:r>
        <w:r>
          <w:rPr>
            <w:rFonts w:asciiTheme="minorHAnsi" w:eastAsiaTheme="minorEastAsia" w:hAnsiTheme="minorHAnsi" w:cstheme="minorBidi"/>
            <w:b w:val="0"/>
            <w:bCs w:val="0"/>
            <w:caps w:val="0"/>
            <w:noProof/>
            <w:sz w:val="22"/>
            <w:szCs w:val="22"/>
            <w:lang w:eastAsia="es-MX"/>
          </w:rPr>
          <w:tab/>
        </w:r>
        <w:r w:rsidRPr="004B644E">
          <w:rPr>
            <w:rStyle w:val="Hipervnculo"/>
            <w:noProof/>
          </w:rPr>
          <w:t>Escenarios paramétricos</w:t>
        </w:r>
        <w:r>
          <w:rPr>
            <w:noProof/>
            <w:webHidden/>
          </w:rPr>
          <w:tab/>
        </w:r>
        <w:r>
          <w:rPr>
            <w:noProof/>
            <w:webHidden/>
          </w:rPr>
          <w:fldChar w:fldCharType="begin"/>
        </w:r>
        <w:r>
          <w:rPr>
            <w:noProof/>
            <w:webHidden/>
          </w:rPr>
          <w:instrText xml:space="preserve"> PAGEREF _Toc283641776 \h </w:instrText>
        </w:r>
        <w:r>
          <w:rPr>
            <w:noProof/>
            <w:webHidden/>
          </w:rPr>
        </w:r>
        <w:r>
          <w:rPr>
            <w:noProof/>
            <w:webHidden/>
          </w:rPr>
          <w:fldChar w:fldCharType="separate"/>
        </w:r>
        <w:r>
          <w:rPr>
            <w:noProof/>
            <w:webHidden/>
          </w:rPr>
          <w:t>10</w:t>
        </w:r>
        <w:r>
          <w:rPr>
            <w:noProof/>
            <w:webHidden/>
          </w:rPr>
          <w:fldChar w:fldCharType="end"/>
        </w:r>
      </w:hyperlink>
    </w:p>
    <w:p w:rsidR="00D05378" w:rsidRDefault="00D05378">
      <w:pPr>
        <w:pStyle w:val="TDC1"/>
        <w:tabs>
          <w:tab w:val="left" w:pos="720"/>
          <w:tab w:val="right" w:leader="dot" w:pos="9678"/>
        </w:tabs>
        <w:rPr>
          <w:rFonts w:asciiTheme="minorHAnsi" w:eastAsiaTheme="minorEastAsia" w:hAnsiTheme="minorHAnsi" w:cstheme="minorBidi"/>
          <w:b w:val="0"/>
          <w:bCs w:val="0"/>
          <w:caps w:val="0"/>
          <w:noProof/>
          <w:sz w:val="22"/>
          <w:szCs w:val="22"/>
          <w:lang w:eastAsia="es-MX"/>
        </w:rPr>
      </w:pPr>
      <w:hyperlink w:anchor="_Toc283641777" w:history="1">
        <w:r w:rsidRPr="004B644E">
          <w:rPr>
            <w:rStyle w:val="Hipervnculo"/>
            <w:noProof/>
          </w:rPr>
          <w:t>7.</w:t>
        </w:r>
        <w:r>
          <w:rPr>
            <w:rFonts w:asciiTheme="minorHAnsi" w:eastAsiaTheme="minorEastAsia" w:hAnsiTheme="minorHAnsi" w:cstheme="minorBidi"/>
            <w:b w:val="0"/>
            <w:bCs w:val="0"/>
            <w:caps w:val="0"/>
            <w:noProof/>
            <w:sz w:val="22"/>
            <w:szCs w:val="22"/>
            <w:lang w:eastAsia="es-MX"/>
          </w:rPr>
          <w:tab/>
        </w:r>
        <w:r w:rsidRPr="004B644E">
          <w:rPr>
            <w:rStyle w:val="Hipervnculo"/>
            <w:noProof/>
          </w:rPr>
          <w:t>Costos económico-ambientales por la sobreexplotación</w:t>
        </w:r>
        <w:r>
          <w:rPr>
            <w:noProof/>
            <w:webHidden/>
          </w:rPr>
          <w:tab/>
        </w:r>
        <w:r>
          <w:rPr>
            <w:noProof/>
            <w:webHidden/>
          </w:rPr>
          <w:fldChar w:fldCharType="begin"/>
        </w:r>
        <w:r>
          <w:rPr>
            <w:noProof/>
            <w:webHidden/>
          </w:rPr>
          <w:instrText xml:space="preserve"> PAGEREF _Toc283641777 \h </w:instrText>
        </w:r>
        <w:r>
          <w:rPr>
            <w:noProof/>
            <w:webHidden/>
          </w:rPr>
        </w:r>
        <w:r>
          <w:rPr>
            <w:noProof/>
            <w:webHidden/>
          </w:rPr>
          <w:fldChar w:fldCharType="separate"/>
        </w:r>
        <w:r>
          <w:rPr>
            <w:noProof/>
            <w:webHidden/>
          </w:rPr>
          <w:t>11</w:t>
        </w:r>
        <w:r>
          <w:rPr>
            <w:noProof/>
            <w:webHidden/>
          </w:rPr>
          <w:fldChar w:fldCharType="end"/>
        </w:r>
      </w:hyperlink>
    </w:p>
    <w:p w:rsidR="00D05378" w:rsidRDefault="00D05378">
      <w:pPr>
        <w:pStyle w:val="TDC4"/>
        <w:tabs>
          <w:tab w:val="right" w:leader="dot" w:pos="9678"/>
        </w:tabs>
        <w:rPr>
          <w:rFonts w:asciiTheme="minorHAnsi" w:eastAsiaTheme="minorEastAsia" w:hAnsiTheme="minorHAnsi" w:cstheme="minorBidi"/>
          <w:noProof/>
          <w:sz w:val="22"/>
          <w:szCs w:val="22"/>
          <w:lang w:eastAsia="es-MX"/>
        </w:rPr>
      </w:pPr>
      <w:hyperlink w:anchor="_Toc283641778" w:history="1">
        <w:r w:rsidRPr="004B644E">
          <w:rPr>
            <w:rStyle w:val="Hipervnculo"/>
            <w:noProof/>
          </w:rPr>
          <w:t>Costos de extracción</w:t>
        </w:r>
        <w:r>
          <w:rPr>
            <w:noProof/>
            <w:webHidden/>
          </w:rPr>
          <w:tab/>
        </w:r>
        <w:r>
          <w:rPr>
            <w:noProof/>
            <w:webHidden/>
          </w:rPr>
          <w:fldChar w:fldCharType="begin"/>
        </w:r>
        <w:r>
          <w:rPr>
            <w:noProof/>
            <w:webHidden/>
          </w:rPr>
          <w:instrText xml:space="preserve"> PAGEREF _Toc283641778 \h </w:instrText>
        </w:r>
        <w:r>
          <w:rPr>
            <w:noProof/>
            <w:webHidden/>
          </w:rPr>
        </w:r>
        <w:r>
          <w:rPr>
            <w:noProof/>
            <w:webHidden/>
          </w:rPr>
          <w:fldChar w:fldCharType="separate"/>
        </w:r>
        <w:r>
          <w:rPr>
            <w:noProof/>
            <w:webHidden/>
          </w:rPr>
          <w:t>11</w:t>
        </w:r>
        <w:r>
          <w:rPr>
            <w:noProof/>
            <w:webHidden/>
          </w:rPr>
          <w:fldChar w:fldCharType="end"/>
        </w:r>
      </w:hyperlink>
    </w:p>
    <w:p w:rsidR="00D05378" w:rsidRDefault="00D05378">
      <w:pPr>
        <w:pStyle w:val="TDC4"/>
        <w:tabs>
          <w:tab w:val="right" w:leader="dot" w:pos="9678"/>
        </w:tabs>
        <w:rPr>
          <w:rFonts w:asciiTheme="minorHAnsi" w:eastAsiaTheme="minorEastAsia" w:hAnsiTheme="minorHAnsi" w:cstheme="minorBidi"/>
          <w:noProof/>
          <w:sz w:val="22"/>
          <w:szCs w:val="22"/>
          <w:lang w:eastAsia="es-MX"/>
        </w:rPr>
      </w:pPr>
      <w:hyperlink w:anchor="_Toc283641779" w:history="1">
        <w:r w:rsidRPr="004B644E">
          <w:rPr>
            <w:rStyle w:val="Hipervnculo"/>
            <w:noProof/>
          </w:rPr>
          <w:t>Costos por depreciación y mantenimiento</w:t>
        </w:r>
        <w:r>
          <w:rPr>
            <w:noProof/>
            <w:webHidden/>
          </w:rPr>
          <w:tab/>
        </w:r>
        <w:r>
          <w:rPr>
            <w:noProof/>
            <w:webHidden/>
          </w:rPr>
          <w:fldChar w:fldCharType="begin"/>
        </w:r>
        <w:r>
          <w:rPr>
            <w:noProof/>
            <w:webHidden/>
          </w:rPr>
          <w:instrText xml:space="preserve"> PAGEREF _Toc283641779 \h </w:instrText>
        </w:r>
        <w:r>
          <w:rPr>
            <w:noProof/>
            <w:webHidden/>
          </w:rPr>
        </w:r>
        <w:r>
          <w:rPr>
            <w:noProof/>
            <w:webHidden/>
          </w:rPr>
          <w:fldChar w:fldCharType="separate"/>
        </w:r>
        <w:r>
          <w:rPr>
            <w:noProof/>
            <w:webHidden/>
          </w:rPr>
          <w:t>11</w:t>
        </w:r>
        <w:r>
          <w:rPr>
            <w:noProof/>
            <w:webHidden/>
          </w:rPr>
          <w:fldChar w:fldCharType="end"/>
        </w:r>
      </w:hyperlink>
    </w:p>
    <w:p w:rsidR="00D05378" w:rsidRDefault="00D05378">
      <w:pPr>
        <w:pStyle w:val="TDC4"/>
        <w:tabs>
          <w:tab w:val="right" w:leader="dot" w:pos="9678"/>
        </w:tabs>
        <w:rPr>
          <w:rFonts w:asciiTheme="minorHAnsi" w:eastAsiaTheme="minorEastAsia" w:hAnsiTheme="minorHAnsi" w:cstheme="minorBidi"/>
          <w:noProof/>
          <w:sz w:val="22"/>
          <w:szCs w:val="22"/>
          <w:lang w:eastAsia="es-MX"/>
        </w:rPr>
      </w:pPr>
      <w:hyperlink w:anchor="_Toc283641780" w:history="1">
        <w:r w:rsidRPr="004B644E">
          <w:rPr>
            <w:rStyle w:val="Hipervnculo"/>
            <w:noProof/>
          </w:rPr>
          <w:t>Costos de oportunidad</w:t>
        </w:r>
        <w:r>
          <w:rPr>
            <w:noProof/>
            <w:webHidden/>
          </w:rPr>
          <w:tab/>
        </w:r>
        <w:r>
          <w:rPr>
            <w:noProof/>
            <w:webHidden/>
          </w:rPr>
          <w:fldChar w:fldCharType="begin"/>
        </w:r>
        <w:r>
          <w:rPr>
            <w:noProof/>
            <w:webHidden/>
          </w:rPr>
          <w:instrText xml:space="preserve"> PAGEREF _Toc283641780 \h </w:instrText>
        </w:r>
        <w:r>
          <w:rPr>
            <w:noProof/>
            <w:webHidden/>
          </w:rPr>
        </w:r>
        <w:r>
          <w:rPr>
            <w:noProof/>
            <w:webHidden/>
          </w:rPr>
          <w:fldChar w:fldCharType="separate"/>
        </w:r>
        <w:r>
          <w:rPr>
            <w:noProof/>
            <w:webHidden/>
          </w:rPr>
          <w:t>11</w:t>
        </w:r>
        <w:r>
          <w:rPr>
            <w:noProof/>
            <w:webHidden/>
          </w:rPr>
          <w:fldChar w:fldCharType="end"/>
        </w:r>
      </w:hyperlink>
    </w:p>
    <w:p w:rsidR="00D05378" w:rsidRDefault="00D05378">
      <w:pPr>
        <w:pStyle w:val="TDC4"/>
        <w:tabs>
          <w:tab w:val="right" w:leader="dot" w:pos="9678"/>
        </w:tabs>
        <w:rPr>
          <w:rFonts w:asciiTheme="minorHAnsi" w:eastAsiaTheme="minorEastAsia" w:hAnsiTheme="minorHAnsi" w:cstheme="minorBidi"/>
          <w:noProof/>
          <w:sz w:val="22"/>
          <w:szCs w:val="22"/>
          <w:lang w:eastAsia="es-MX"/>
        </w:rPr>
      </w:pPr>
      <w:hyperlink w:anchor="_Toc283641781" w:history="1">
        <w:r w:rsidRPr="004B644E">
          <w:rPr>
            <w:rStyle w:val="Hipervnculo"/>
            <w:noProof/>
          </w:rPr>
          <w:t>Evaluación de los beneficios económicos producto de la sobreexplotación</w:t>
        </w:r>
        <w:r>
          <w:rPr>
            <w:noProof/>
            <w:webHidden/>
          </w:rPr>
          <w:tab/>
        </w:r>
        <w:r>
          <w:rPr>
            <w:noProof/>
            <w:webHidden/>
          </w:rPr>
          <w:fldChar w:fldCharType="begin"/>
        </w:r>
        <w:r>
          <w:rPr>
            <w:noProof/>
            <w:webHidden/>
          </w:rPr>
          <w:instrText xml:space="preserve"> PAGEREF _Toc283641781 \h </w:instrText>
        </w:r>
        <w:r>
          <w:rPr>
            <w:noProof/>
            <w:webHidden/>
          </w:rPr>
        </w:r>
        <w:r>
          <w:rPr>
            <w:noProof/>
            <w:webHidden/>
          </w:rPr>
          <w:fldChar w:fldCharType="separate"/>
        </w:r>
        <w:r>
          <w:rPr>
            <w:noProof/>
            <w:webHidden/>
          </w:rPr>
          <w:t>11</w:t>
        </w:r>
        <w:r>
          <w:rPr>
            <w:noProof/>
            <w:webHidden/>
          </w:rPr>
          <w:fldChar w:fldCharType="end"/>
        </w:r>
      </w:hyperlink>
    </w:p>
    <w:p w:rsidR="00D05378" w:rsidRDefault="00D05378">
      <w:pPr>
        <w:pStyle w:val="TDC4"/>
        <w:tabs>
          <w:tab w:val="right" w:leader="dot" w:pos="9678"/>
        </w:tabs>
        <w:rPr>
          <w:rFonts w:asciiTheme="minorHAnsi" w:eastAsiaTheme="minorEastAsia" w:hAnsiTheme="minorHAnsi" w:cstheme="minorBidi"/>
          <w:noProof/>
          <w:sz w:val="22"/>
          <w:szCs w:val="22"/>
          <w:lang w:eastAsia="es-MX"/>
        </w:rPr>
      </w:pPr>
      <w:hyperlink w:anchor="_Toc283641782" w:history="1">
        <w:r w:rsidRPr="004B644E">
          <w:rPr>
            <w:rStyle w:val="Hipervnculo"/>
            <w:noProof/>
          </w:rPr>
          <w:t>Análisis de la relación beneficio-costo de la sobreexplotación</w:t>
        </w:r>
        <w:r>
          <w:rPr>
            <w:noProof/>
            <w:webHidden/>
          </w:rPr>
          <w:tab/>
        </w:r>
        <w:r>
          <w:rPr>
            <w:noProof/>
            <w:webHidden/>
          </w:rPr>
          <w:fldChar w:fldCharType="begin"/>
        </w:r>
        <w:r>
          <w:rPr>
            <w:noProof/>
            <w:webHidden/>
          </w:rPr>
          <w:instrText xml:space="preserve"> PAGEREF _Toc283641782 \h </w:instrText>
        </w:r>
        <w:r>
          <w:rPr>
            <w:noProof/>
            <w:webHidden/>
          </w:rPr>
        </w:r>
        <w:r>
          <w:rPr>
            <w:noProof/>
            <w:webHidden/>
          </w:rPr>
          <w:fldChar w:fldCharType="separate"/>
        </w:r>
        <w:r>
          <w:rPr>
            <w:noProof/>
            <w:webHidden/>
          </w:rPr>
          <w:t>12</w:t>
        </w:r>
        <w:r>
          <w:rPr>
            <w:noProof/>
            <w:webHidden/>
          </w:rPr>
          <w:fldChar w:fldCharType="end"/>
        </w:r>
      </w:hyperlink>
    </w:p>
    <w:p w:rsidR="00D05378" w:rsidRDefault="00D05378">
      <w:pPr>
        <w:pStyle w:val="TDC1"/>
        <w:tabs>
          <w:tab w:val="left" w:pos="720"/>
          <w:tab w:val="right" w:leader="dot" w:pos="9678"/>
        </w:tabs>
        <w:rPr>
          <w:rFonts w:asciiTheme="minorHAnsi" w:eastAsiaTheme="minorEastAsia" w:hAnsiTheme="minorHAnsi" w:cstheme="minorBidi"/>
          <w:b w:val="0"/>
          <w:bCs w:val="0"/>
          <w:caps w:val="0"/>
          <w:noProof/>
          <w:sz w:val="22"/>
          <w:szCs w:val="22"/>
          <w:lang w:eastAsia="es-MX"/>
        </w:rPr>
      </w:pPr>
      <w:hyperlink w:anchor="_Toc283641783" w:history="1">
        <w:r w:rsidRPr="004B644E">
          <w:rPr>
            <w:rStyle w:val="Hipervnculo"/>
            <w:noProof/>
          </w:rPr>
          <w:t>8.</w:t>
        </w:r>
        <w:r>
          <w:rPr>
            <w:rFonts w:asciiTheme="minorHAnsi" w:eastAsiaTheme="minorEastAsia" w:hAnsiTheme="minorHAnsi" w:cstheme="minorBidi"/>
            <w:b w:val="0"/>
            <w:bCs w:val="0"/>
            <w:caps w:val="0"/>
            <w:noProof/>
            <w:sz w:val="22"/>
            <w:szCs w:val="22"/>
            <w:lang w:eastAsia="es-MX"/>
          </w:rPr>
          <w:tab/>
        </w:r>
        <w:r w:rsidRPr="004B644E">
          <w:rPr>
            <w:rStyle w:val="Hipervnculo"/>
            <w:noProof/>
          </w:rPr>
          <w:t>Alternativas de manejo integrado</w:t>
        </w:r>
        <w:r>
          <w:rPr>
            <w:noProof/>
            <w:webHidden/>
          </w:rPr>
          <w:tab/>
        </w:r>
        <w:r>
          <w:rPr>
            <w:noProof/>
            <w:webHidden/>
          </w:rPr>
          <w:fldChar w:fldCharType="begin"/>
        </w:r>
        <w:r>
          <w:rPr>
            <w:noProof/>
            <w:webHidden/>
          </w:rPr>
          <w:instrText xml:space="preserve"> PAGEREF _Toc283641783 \h </w:instrText>
        </w:r>
        <w:r>
          <w:rPr>
            <w:noProof/>
            <w:webHidden/>
          </w:rPr>
        </w:r>
        <w:r>
          <w:rPr>
            <w:noProof/>
            <w:webHidden/>
          </w:rPr>
          <w:fldChar w:fldCharType="separate"/>
        </w:r>
        <w:r>
          <w:rPr>
            <w:noProof/>
            <w:webHidden/>
          </w:rPr>
          <w:t>13</w:t>
        </w:r>
        <w:r>
          <w:rPr>
            <w:noProof/>
            <w:webHidden/>
          </w:rPr>
          <w:fldChar w:fldCharType="end"/>
        </w:r>
      </w:hyperlink>
    </w:p>
    <w:p w:rsidR="00D05378" w:rsidRDefault="00D05378">
      <w:pPr>
        <w:pStyle w:val="TDC1"/>
        <w:tabs>
          <w:tab w:val="left" w:pos="720"/>
          <w:tab w:val="right" w:leader="dot" w:pos="9678"/>
        </w:tabs>
        <w:rPr>
          <w:rFonts w:asciiTheme="minorHAnsi" w:eastAsiaTheme="minorEastAsia" w:hAnsiTheme="minorHAnsi" w:cstheme="minorBidi"/>
          <w:b w:val="0"/>
          <w:bCs w:val="0"/>
          <w:caps w:val="0"/>
          <w:noProof/>
          <w:sz w:val="22"/>
          <w:szCs w:val="22"/>
          <w:lang w:eastAsia="es-MX"/>
        </w:rPr>
      </w:pPr>
      <w:hyperlink w:anchor="_Toc283641784" w:history="1">
        <w:r w:rsidRPr="004B644E">
          <w:rPr>
            <w:rStyle w:val="Hipervnculo"/>
            <w:noProof/>
          </w:rPr>
          <w:t>9.</w:t>
        </w:r>
        <w:r>
          <w:rPr>
            <w:rFonts w:asciiTheme="minorHAnsi" w:eastAsiaTheme="minorEastAsia" w:hAnsiTheme="minorHAnsi" w:cstheme="minorBidi"/>
            <w:b w:val="0"/>
            <w:bCs w:val="0"/>
            <w:caps w:val="0"/>
            <w:noProof/>
            <w:sz w:val="22"/>
            <w:szCs w:val="22"/>
            <w:lang w:eastAsia="es-MX"/>
          </w:rPr>
          <w:tab/>
        </w:r>
        <w:r w:rsidRPr="004B644E">
          <w:rPr>
            <w:rStyle w:val="Hipervnculo"/>
            <w:noProof/>
          </w:rPr>
          <w:t>Conclusiones y recomendaciones</w:t>
        </w:r>
        <w:r>
          <w:rPr>
            <w:noProof/>
            <w:webHidden/>
          </w:rPr>
          <w:tab/>
        </w:r>
        <w:r>
          <w:rPr>
            <w:noProof/>
            <w:webHidden/>
          </w:rPr>
          <w:fldChar w:fldCharType="begin"/>
        </w:r>
        <w:r>
          <w:rPr>
            <w:noProof/>
            <w:webHidden/>
          </w:rPr>
          <w:instrText xml:space="preserve"> PAGEREF _Toc283641784 \h </w:instrText>
        </w:r>
        <w:r>
          <w:rPr>
            <w:noProof/>
            <w:webHidden/>
          </w:rPr>
        </w:r>
        <w:r>
          <w:rPr>
            <w:noProof/>
            <w:webHidden/>
          </w:rPr>
          <w:fldChar w:fldCharType="separate"/>
        </w:r>
        <w:r>
          <w:rPr>
            <w:noProof/>
            <w:webHidden/>
          </w:rPr>
          <w:t>19</w:t>
        </w:r>
        <w:r>
          <w:rPr>
            <w:noProof/>
            <w:webHidden/>
          </w:rPr>
          <w:fldChar w:fldCharType="end"/>
        </w:r>
      </w:hyperlink>
    </w:p>
    <w:p w:rsidR="00D05378" w:rsidRDefault="00D05378">
      <w:pPr>
        <w:pStyle w:val="TDC2"/>
        <w:tabs>
          <w:tab w:val="right" w:leader="dot" w:pos="9678"/>
        </w:tabs>
        <w:rPr>
          <w:rFonts w:asciiTheme="minorHAnsi" w:eastAsiaTheme="minorEastAsia" w:hAnsiTheme="minorHAnsi" w:cstheme="minorBidi"/>
          <w:smallCaps w:val="0"/>
          <w:noProof/>
          <w:sz w:val="22"/>
          <w:szCs w:val="22"/>
          <w:lang w:eastAsia="es-MX"/>
        </w:rPr>
      </w:pPr>
      <w:hyperlink w:anchor="_Toc283641785" w:history="1">
        <w:r w:rsidRPr="004B644E">
          <w:rPr>
            <w:rStyle w:val="Hipervnculo"/>
            <w:noProof/>
          </w:rPr>
          <w:t>Conclusiones</w:t>
        </w:r>
        <w:r>
          <w:rPr>
            <w:noProof/>
            <w:webHidden/>
          </w:rPr>
          <w:tab/>
        </w:r>
        <w:r>
          <w:rPr>
            <w:noProof/>
            <w:webHidden/>
          </w:rPr>
          <w:fldChar w:fldCharType="begin"/>
        </w:r>
        <w:r>
          <w:rPr>
            <w:noProof/>
            <w:webHidden/>
          </w:rPr>
          <w:instrText xml:space="preserve"> PAGEREF _Toc283641785 \h </w:instrText>
        </w:r>
        <w:r>
          <w:rPr>
            <w:noProof/>
            <w:webHidden/>
          </w:rPr>
        </w:r>
        <w:r>
          <w:rPr>
            <w:noProof/>
            <w:webHidden/>
          </w:rPr>
          <w:fldChar w:fldCharType="separate"/>
        </w:r>
        <w:r>
          <w:rPr>
            <w:noProof/>
            <w:webHidden/>
          </w:rPr>
          <w:t>19</w:t>
        </w:r>
        <w:r>
          <w:rPr>
            <w:noProof/>
            <w:webHidden/>
          </w:rPr>
          <w:fldChar w:fldCharType="end"/>
        </w:r>
      </w:hyperlink>
    </w:p>
    <w:p w:rsidR="00D05378" w:rsidRDefault="00D05378">
      <w:pPr>
        <w:pStyle w:val="TDC2"/>
        <w:tabs>
          <w:tab w:val="right" w:leader="dot" w:pos="9678"/>
        </w:tabs>
        <w:rPr>
          <w:rFonts w:asciiTheme="minorHAnsi" w:eastAsiaTheme="minorEastAsia" w:hAnsiTheme="minorHAnsi" w:cstheme="minorBidi"/>
          <w:smallCaps w:val="0"/>
          <w:noProof/>
          <w:sz w:val="22"/>
          <w:szCs w:val="22"/>
          <w:lang w:eastAsia="es-MX"/>
        </w:rPr>
      </w:pPr>
      <w:hyperlink w:anchor="_Toc283641786" w:history="1">
        <w:r w:rsidRPr="004B644E">
          <w:rPr>
            <w:rStyle w:val="Hipervnculo"/>
            <w:noProof/>
          </w:rPr>
          <w:t>Recomendaciones</w:t>
        </w:r>
        <w:r>
          <w:rPr>
            <w:noProof/>
            <w:webHidden/>
          </w:rPr>
          <w:tab/>
        </w:r>
        <w:r>
          <w:rPr>
            <w:noProof/>
            <w:webHidden/>
          </w:rPr>
          <w:fldChar w:fldCharType="begin"/>
        </w:r>
        <w:r>
          <w:rPr>
            <w:noProof/>
            <w:webHidden/>
          </w:rPr>
          <w:instrText xml:space="preserve"> PAGEREF _Toc283641786 \h </w:instrText>
        </w:r>
        <w:r>
          <w:rPr>
            <w:noProof/>
            <w:webHidden/>
          </w:rPr>
        </w:r>
        <w:r>
          <w:rPr>
            <w:noProof/>
            <w:webHidden/>
          </w:rPr>
          <w:fldChar w:fldCharType="separate"/>
        </w:r>
        <w:r>
          <w:rPr>
            <w:noProof/>
            <w:webHidden/>
          </w:rPr>
          <w:t>20</w:t>
        </w:r>
        <w:r>
          <w:rPr>
            <w:noProof/>
            <w:webHidden/>
          </w:rPr>
          <w:fldChar w:fldCharType="end"/>
        </w:r>
      </w:hyperlink>
    </w:p>
    <w:p w:rsidR="005D7865" w:rsidRPr="004850D5" w:rsidRDefault="00AC3939" w:rsidP="004850D5">
      <w:pPr>
        <w:rPr>
          <w:rFonts w:ascii="Times New Roman" w:hAnsi="Times New Roman" w:cs="Times New Roman"/>
          <w:u w:val="single"/>
        </w:rPr>
      </w:pPr>
      <w:r>
        <w:rPr>
          <w:rFonts w:ascii="Times New Roman" w:hAnsi="Times New Roman" w:cs="Times New Roman"/>
          <w:u w:val="single"/>
        </w:rPr>
        <w:fldChar w:fldCharType="end"/>
      </w:r>
    </w:p>
    <w:p w:rsidR="00BA13E8" w:rsidRDefault="00BA13E8">
      <w:pPr>
        <w:rPr>
          <w:lang w:val="es-ES"/>
        </w:rPr>
      </w:pPr>
    </w:p>
    <w:p w:rsidR="000A405D" w:rsidRPr="000A38AB" w:rsidRDefault="000A405D" w:rsidP="00014C20">
      <w:pPr>
        <w:rPr>
          <w:highlight w:val="red"/>
        </w:rPr>
        <w:sectPr w:rsidR="000A405D" w:rsidRPr="000A38AB" w:rsidSect="000569FC">
          <w:headerReference w:type="default" r:id="rId12"/>
          <w:footerReference w:type="default" r:id="rId13"/>
          <w:pgSz w:w="12240" w:h="15840" w:code="1"/>
          <w:pgMar w:top="1701" w:right="1134" w:bottom="1701" w:left="1418" w:header="851" w:footer="709" w:gutter="0"/>
          <w:pgNumType w:fmt="upperRoman" w:start="1"/>
          <w:cols w:space="708"/>
          <w:docGrid w:linePitch="360"/>
        </w:sectPr>
      </w:pPr>
    </w:p>
    <w:p w:rsidR="00924CBE" w:rsidRDefault="00924CBE" w:rsidP="00BA3FE3">
      <w:pPr>
        <w:pStyle w:val="Ttulo1"/>
      </w:pPr>
      <w:bookmarkStart w:id="0" w:name="_Toc198039053"/>
      <w:bookmarkStart w:id="1" w:name="_Toc198039101"/>
      <w:bookmarkStart w:id="2" w:name="_Toc198039217"/>
      <w:bookmarkStart w:id="3" w:name="_Toc283641762"/>
      <w:bookmarkEnd w:id="0"/>
      <w:bookmarkEnd w:id="1"/>
      <w:bookmarkEnd w:id="2"/>
      <w:r>
        <w:lastRenderedPageBreak/>
        <w:t>Generalidades</w:t>
      </w:r>
      <w:bookmarkEnd w:id="3"/>
    </w:p>
    <w:p w:rsidR="00924CBE" w:rsidRDefault="00924CBE" w:rsidP="000E71C1">
      <w:pPr>
        <w:pStyle w:val="Ttulo2"/>
      </w:pPr>
      <w:bookmarkStart w:id="4" w:name="_Toc283641763"/>
      <w:r>
        <w:t>Antecedentes</w:t>
      </w:r>
      <w:bookmarkEnd w:id="4"/>
    </w:p>
    <w:p w:rsidR="00505AAA" w:rsidRDefault="00924CBE" w:rsidP="00924CBE">
      <w:pPr>
        <w:rPr>
          <w:sz w:val="20"/>
        </w:rPr>
      </w:pPr>
      <w:r w:rsidRPr="00ED0B09">
        <w:rPr>
          <w:sz w:val="20"/>
        </w:rPr>
        <w:t>El acuífero Huamantla-L</w:t>
      </w:r>
      <w:r w:rsidR="003A3013">
        <w:rPr>
          <w:sz w:val="20"/>
        </w:rPr>
        <w:t xml:space="preserve">ibres </w:t>
      </w:r>
      <w:r w:rsidRPr="00ED0B09">
        <w:rPr>
          <w:sz w:val="20"/>
        </w:rPr>
        <w:t xml:space="preserve">Oriental-Perote </w:t>
      </w:r>
      <w:r w:rsidR="00030FF6">
        <w:rPr>
          <w:sz w:val="20"/>
        </w:rPr>
        <w:t xml:space="preserve">(HLOP) </w:t>
      </w:r>
      <w:r w:rsidRPr="00ED0B09">
        <w:rPr>
          <w:sz w:val="20"/>
        </w:rPr>
        <w:t xml:space="preserve">es un acuífero interestatal ubicado en </w:t>
      </w:r>
      <w:r w:rsidR="008C081F">
        <w:rPr>
          <w:sz w:val="20"/>
        </w:rPr>
        <w:t>tres</w:t>
      </w:r>
      <w:r w:rsidRPr="00ED0B09">
        <w:rPr>
          <w:sz w:val="20"/>
        </w:rPr>
        <w:t xml:space="preserve"> estados</w:t>
      </w:r>
      <w:r w:rsidR="003A3013">
        <w:rPr>
          <w:sz w:val="20"/>
        </w:rPr>
        <w:t xml:space="preserve">, </w:t>
      </w:r>
      <w:r w:rsidR="008C081F">
        <w:rPr>
          <w:sz w:val="20"/>
        </w:rPr>
        <w:t xml:space="preserve">pero </w:t>
      </w:r>
      <w:r w:rsidR="003A3013">
        <w:rPr>
          <w:sz w:val="20"/>
        </w:rPr>
        <w:t xml:space="preserve">dividido </w:t>
      </w:r>
      <w:r w:rsidRPr="00ED0B09">
        <w:rPr>
          <w:sz w:val="20"/>
        </w:rPr>
        <w:t xml:space="preserve">administrativamente </w:t>
      </w:r>
      <w:r w:rsidR="003A3013">
        <w:rPr>
          <w:sz w:val="20"/>
        </w:rPr>
        <w:t>en</w:t>
      </w:r>
      <w:r w:rsidRPr="00ED0B09">
        <w:rPr>
          <w:sz w:val="20"/>
        </w:rPr>
        <w:t xml:space="preserve"> tres acuíferos diferentes</w:t>
      </w:r>
      <w:r w:rsidR="003A3013">
        <w:rPr>
          <w:sz w:val="20"/>
        </w:rPr>
        <w:t>,</w:t>
      </w:r>
      <w:r w:rsidRPr="00ED0B09">
        <w:rPr>
          <w:sz w:val="20"/>
        </w:rPr>
        <w:t xml:space="preserve"> </w:t>
      </w:r>
      <w:r w:rsidR="00402202">
        <w:rPr>
          <w:sz w:val="20"/>
        </w:rPr>
        <w:t xml:space="preserve">y </w:t>
      </w:r>
      <w:r w:rsidRPr="00ED0B09">
        <w:rPr>
          <w:sz w:val="20"/>
        </w:rPr>
        <w:t xml:space="preserve">agrupados </w:t>
      </w:r>
      <w:r w:rsidR="003A3013">
        <w:rPr>
          <w:sz w:val="20"/>
        </w:rPr>
        <w:t xml:space="preserve">en uno solo para el presente Plan de Manejo. </w:t>
      </w:r>
      <w:r w:rsidRPr="00ED0B09">
        <w:rPr>
          <w:sz w:val="20"/>
        </w:rPr>
        <w:t xml:space="preserve"> </w:t>
      </w:r>
    </w:p>
    <w:p w:rsidR="00505AAA" w:rsidRDefault="00505AAA" w:rsidP="00924CBE">
      <w:pPr>
        <w:rPr>
          <w:sz w:val="20"/>
        </w:rPr>
        <w:sectPr w:rsidR="00505AAA" w:rsidSect="000569FC">
          <w:headerReference w:type="even" r:id="rId14"/>
          <w:headerReference w:type="default" r:id="rId15"/>
          <w:footerReference w:type="default" r:id="rId16"/>
          <w:pgSz w:w="12240" w:h="15840" w:code="1"/>
          <w:pgMar w:top="1701" w:right="1134" w:bottom="1701" w:left="1418" w:header="709" w:footer="567" w:gutter="0"/>
          <w:pgNumType w:start="1"/>
          <w:cols w:space="708"/>
          <w:docGrid w:linePitch="360"/>
        </w:sectPr>
      </w:pPr>
    </w:p>
    <w:p w:rsidR="00505AAA" w:rsidRDefault="00505AAA" w:rsidP="00924CBE">
      <w:pPr>
        <w:rPr>
          <w:sz w:val="20"/>
        </w:rPr>
      </w:pPr>
      <w:r w:rsidRPr="00505AAA">
        <w:rPr>
          <w:sz w:val="20"/>
        </w:rPr>
        <w:lastRenderedPageBreak/>
        <w:drawing>
          <wp:inline distT="0" distB="0" distL="0" distR="0">
            <wp:extent cx="2800350" cy="2517238"/>
            <wp:effectExtent l="19050" t="0" r="0" b="0"/>
            <wp:docPr id="18" name="14 Imagen" descr="PM_HOLP_G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_HOLP_Gral.jpg"/>
                    <pic:cNvPicPr/>
                  </pic:nvPicPr>
                  <pic:blipFill>
                    <a:blip r:embed="rId17" cstate="print"/>
                    <a:srcRect l="15021" t="9218" r="14520" b="8818"/>
                    <a:stretch>
                      <a:fillRect/>
                    </a:stretch>
                  </pic:blipFill>
                  <pic:spPr>
                    <a:xfrm>
                      <a:off x="0" y="0"/>
                      <a:ext cx="2806701" cy="2522947"/>
                    </a:xfrm>
                    <a:prstGeom prst="rect">
                      <a:avLst/>
                    </a:prstGeom>
                  </pic:spPr>
                </pic:pic>
              </a:graphicData>
            </a:graphic>
          </wp:inline>
        </w:drawing>
      </w:r>
    </w:p>
    <w:p w:rsidR="00505AAA" w:rsidRDefault="00505AAA" w:rsidP="00505AAA">
      <w:pPr>
        <w:rPr>
          <w:rFonts w:eastAsia="Calibri"/>
          <w:sz w:val="20"/>
        </w:rPr>
      </w:pPr>
    </w:p>
    <w:p w:rsidR="00505AAA" w:rsidRPr="00AD691E" w:rsidRDefault="00505AAA" w:rsidP="00505AAA">
      <w:pPr>
        <w:rPr>
          <w:rFonts w:eastAsia="Calibri"/>
          <w:sz w:val="20"/>
        </w:rPr>
      </w:pPr>
      <w:r w:rsidRPr="00AD691E">
        <w:rPr>
          <w:rFonts w:eastAsia="Calibri"/>
          <w:sz w:val="20"/>
        </w:rPr>
        <w:lastRenderedPageBreak/>
        <w:t xml:space="preserve">Comprende extensiones del oriente de Tlaxcala, centro de Puebla y centro-poniente de Veracruz. Un acuífero (Perote-Zalayeta) pertenece al Organismo de Cuenca (OC) Golfo Centro (Región X), mientras que Huamantla y Libres-Oriental se ubican dentro del OC Balsas (Región IV). </w:t>
      </w:r>
      <w:r w:rsidRPr="00505AAA">
        <w:rPr>
          <w:rFonts w:eastAsia="Calibri"/>
          <w:sz w:val="20"/>
        </w:rPr>
        <w:t>Las subregiones de planeación involucradas son: Alto Balsas (OC Balsas), Veracruz Centro y Veracruz Norte (OC Golfo Centro).</w:t>
      </w:r>
    </w:p>
    <w:p w:rsidR="00505AAA" w:rsidRDefault="00505AAA" w:rsidP="00505AAA">
      <w:pPr>
        <w:rPr>
          <w:sz w:val="20"/>
        </w:rPr>
      </w:pPr>
      <w:r w:rsidRPr="00AD691E">
        <w:rPr>
          <w:rFonts w:eastAsia="Calibri"/>
          <w:sz w:val="20"/>
        </w:rPr>
        <w:t>Con base al DOF del 28 de agosto de 2009, se tiene que la superficie total de 5,841.71 km</w:t>
      </w:r>
      <w:r w:rsidRPr="00AD691E">
        <w:rPr>
          <w:rFonts w:eastAsia="Calibri"/>
          <w:sz w:val="20"/>
          <w:vertAlign w:val="superscript"/>
        </w:rPr>
        <w:t>2</w:t>
      </w:r>
      <w:r w:rsidRPr="00AD691E">
        <w:rPr>
          <w:rFonts w:eastAsia="Calibri"/>
          <w:sz w:val="20"/>
        </w:rPr>
        <w:t>, correspondiendo 851.59 a Huamantla, 3,973.80 a Libres–Oriental y 1016.32 a Perote–Zalayeta</w:t>
      </w:r>
      <w:r w:rsidR="00251969">
        <w:rPr>
          <w:rFonts w:eastAsia="Calibri"/>
          <w:sz w:val="20"/>
        </w:rPr>
        <w:t>.</w:t>
      </w:r>
    </w:p>
    <w:p w:rsidR="00505AAA" w:rsidRDefault="00505AAA" w:rsidP="00924CBE">
      <w:pPr>
        <w:rPr>
          <w:sz w:val="20"/>
        </w:rPr>
      </w:pPr>
    </w:p>
    <w:p w:rsidR="00505AAA" w:rsidRDefault="00505AAA" w:rsidP="00924CBE">
      <w:pPr>
        <w:rPr>
          <w:sz w:val="20"/>
        </w:rPr>
        <w:sectPr w:rsidR="00505AAA" w:rsidSect="00505AAA">
          <w:type w:val="continuous"/>
          <w:pgSz w:w="12240" w:h="15840" w:code="1"/>
          <w:pgMar w:top="1701" w:right="1134" w:bottom="1701" w:left="1418" w:header="709" w:footer="567" w:gutter="0"/>
          <w:pgNumType w:start="1"/>
          <w:cols w:num="2" w:space="708"/>
          <w:docGrid w:linePitch="360"/>
        </w:sectPr>
      </w:pPr>
    </w:p>
    <w:p w:rsidR="00030FF6" w:rsidRPr="00030FF6" w:rsidRDefault="00030FF6" w:rsidP="00030FF6">
      <w:pPr>
        <w:rPr>
          <w:sz w:val="20"/>
        </w:rPr>
      </w:pPr>
      <w:r w:rsidRPr="00030FF6">
        <w:rPr>
          <w:sz w:val="20"/>
        </w:rPr>
        <w:lastRenderedPageBreak/>
        <w:t xml:space="preserve">Desde </w:t>
      </w:r>
      <w:r w:rsidR="00192F21">
        <w:rPr>
          <w:sz w:val="20"/>
        </w:rPr>
        <w:t>los</w:t>
      </w:r>
      <w:r w:rsidRPr="00030FF6">
        <w:rPr>
          <w:sz w:val="20"/>
        </w:rPr>
        <w:t xml:space="preserve"> </w:t>
      </w:r>
      <w:r w:rsidR="00192F21">
        <w:rPr>
          <w:sz w:val="20"/>
        </w:rPr>
        <w:t>50´s</w:t>
      </w:r>
      <w:r w:rsidRPr="00030FF6">
        <w:rPr>
          <w:sz w:val="20"/>
        </w:rPr>
        <w:t xml:space="preserve">, el acuífero </w:t>
      </w:r>
      <w:r>
        <w:rPr>
          <w:sz w:val="20"/>
        </w:rPr>
        <w:t>HLOP</w:t>
      </w:r>
      <w:r w:rsidRPr="00030FF6">
        <w:rPr>
          <w:sz w:val="20"/>
        </w:rPr>
        <w:t xml:space="preserve"> ha sido estudiado </w:t>
      </w:r>
      <w:proofErr w:type="spellStart"/>
      <w:r w:rsidRPr="00030FF6">
        <w:rPr>
          <w:sz w:val="20"/>
        </w:rPr>
        <w:t>geohidrológicamente</w:t>
      </w:r>
      <w:proofErr w:type="spellEnd"/>
      <w:r w:rsidRPr="00030FF6">
        <w:rPr>
          <w:sz w:val="20"/>
        </w:rPr>
        <w:t>, principalmente para suministro de agua ha regiones como la</w:t>
      </w:r>
      <w:r>
        <w:rPr>
          <w:sz w:val="20"/>
        </w:rPr>
        <w:t>s c</w:t>
      </w:r>
      <w:r w:rsidRPr="00030FF6">
        <w:rPr>
          <w:sz w:val="20"/>
        </w:rPr>
        <w:t>iudad</w:t>
      </w:r>
      <w:r>
        <w:rPr>
          <w:sz w:val="20"/>
        </w:rPr>
        <w:t>es</w:t>
      </w:r>
      <w:r w:rsidRPr="00030FF6">
        <w:rPr>
          <w:sz w:val="20"/>
        </w:rPr>
        <w:t xml:space="preserve"> de México y Puebla (CHCVM, Proyecto Moctezuma, Programa de Desarrollo Regional </w:t>
      </w:r>
      <w:proofErr w:type="spellStart"/>
      <w:r w:rsidRPr="00030FF6">
        <w:rPr>
          <w:sz w:val="20"/>
        </w:rPr>
        <w:t>Angelópolis</w:t>
      </w:r>
      <w:proofErr w:type="spellEnd"/>
      <w:r w:rsidRPr="00030FF6">
        <w:rPr>
          <w:sz w:val="20"/>
        </w:rPr>
        <w:t>). Ninguno de estos proyectos ha sido concretado a la fecha.</w:t>
      </w:r>
    </w:p>
    <w:p w:rsidR="00030FF6" w:rsidRDefault="00030FF6" w:rsidP="00030FF6">
      <w:pPr>
        <w:rPr>
          <w:sz w:val="20"/>
        </w:rPr>
      </w:pPr>
      <w:r w:rsidRPr="00030FF6">
        <w:rPr>
          <w:sz w:val="20"/>
        </w:rPr>
        <w:t xml:space="preserve">Presenta una configuración hidrológica superficial prácticamente nula con fuertes tasas de evaporación, por lo que el </w:t>
      </w:r>
      <w:proofErr w:type="spellStart"/>
      <w:r w:rsidRPr="00030FF6">
        <w:rPr>
          <w:sz w:val="20"/>
        </w:rPr>
        <w:t>sobreaprovechamiento</w:t>
      </w:r>
      <w:proofErr w:type="spellEnd"/>
      <w:r w:rsidRPr="00030FF6">
        <w:rPr>
          <w:sz w:val="20"/>
        </w:rPr>
        <w:t xml:space="preserve"> de aguas subterráneas y </w:t>
      </w:r>
      <w:r>
        <w:rPr>
          <w:sz w:val="20"/>
        </w:rPr>
        <w:t>la alteración de las</w:t>
      </w:r>
      <w:r w:rsidRPr="00030FF6">
        <w:rPr>
          <w:sz w:val="20"/>
        </w:rPr>
        <w:t xml:space="preserve"> salidas geohidrológicas naturales, provoca la disminución del nivel freático y la paulatina desaparición de las lagunas de El Carmen y El Salado. La recarga natural es originada, principalmente desde: Volcán La Malinche, y sierras de </w:t>
      </w:r>
      <w:proofErr w:type="spellStart"/>
      <w:r w:rsidRPr="00030FF6">
        <w:rPr>
          <w:sz w:val="20"/>
        </w:rPr>
        <w:t>Citlaltepetl</w:t>
      </w:r>
      <w:proofErr w:type="spellEnd"/>
      <w:r w:rsidRPr="00030FF6">
        <w:rPr>
          <w:sz w:val="20"/>
        </w:rPr>
        <w:t xml:space="preserve"> y Perote. Se cree de la existencia de una región de retención hidrológica importante en la zona de Buenos Aires-Serdán.</w:t>
      </w:r>
    </w:p>
    <w:p w:rsidR="0031212F" w:rsidRPr="0031212F" w:rsidRDefault="0031212F" w:rsidP="00030FF6">
      <w:pPr>
        <w:rPr>
          <w:sz w:val="20"/>
        </w:rPr>
      </w:pPr>
      <w:r>
        <w:rPr>
          <w:sz w:val="20"/>
        </w:rPr>
        <w:t>E</w:t>
      </w:r>
      <w:r w:rsidRPr="0031212F">
        <w:rPr>
          <w:sz w:val="20"/>
        </w:rPr>
        <w:t xml:space="preserve">studios piezométricos de 1966-1996 </w:t>
      </w:r>
      <w:r>
        <w:rPr>
          <w:sz w:val="20"/>
        </w:rPr>
        <w:t>cuantificaron abatimientos de 1-</w:t>
      </w:r>
      <w:r w:rsidRPr="0031212F">
        <w:rPr>
          <w:sz w:val="20"/>
        </w:rPr>
        <w:t>6 m en la zona de Totolcingo; de 1</w:t>
      </w:r>
      <w:r>
        <w:rPr>
          <w:sz w:val="20"/>
        </w:rPr>
        <w:t>-</w:t>
      </w:r>
      <w:r w:rsidRPr="0031212F">
        <w:rPr>
          <w:sz w:val="20"/>
        </w:rPr>
        <w:t>3 m en la zona de Libres-Oriental; de 2</w:t>
      </w:r>
      <w:r>
        <w:rPr>
          <w:sz w:val="20"/>
        </w:rPr>
        <w:t>-</w:t>
      </w:r>
      <w:r w:rsidRPr="0031212F">
        <w:rPr>
          <w:sz w:val="20"/>
        </w:rPr>
        <w:t xml:space="preserve">3 m en la región de </w:t>
      </w:r>
      <w:proofErr w:type="spellStart"/>
      <w:r w:rsidRPr="0031212F">
        <w:rPr>
          <w:sz w:val="20"/>
        </w:rPr>
        <w:t>Tepeyahualco</w:t>
      </w:r>
      <w:proofErr w:type="spellEnd"/>
      <w:r w:rsidRPr="0031212F">
        <w:rPr>
          <w:sz w:val="20"/>
        </w:rPr>
        <w:t>; de 2</w:t>
      </w:r>
      <w:r>
        <w:rPr>
          <w:sz w:val="20"/>
        </w:rPr>
        <w:t>-</w:t>
      </w:r>
      <w:r w:rsidRPr="0031212F">
        <w:rPr>
          <w:sz w:val="20"/>
        </w:rPr>
        <w:t>4 m en Perote</w:t>
      </w:r>
      <w:r w:rsidR="00660647">
        <w:rPr>
          <w:sz w:val="20"/>
        </w:rPr>
        <w:t>,</w:t>
      </w:r>
      <w:r w:rsidRPr="0031212F">
        <w:rPr>
          <w:sz w:val="20"/>
        </w:rPr>
        <w:t xml:space="preserve"> y de 2</w:t>
      </w:r>
      <w:r>
        <w:rPr>
          <w:sz w:val="20"/>
        </w:rPr>
        <w:t>-</w:t>
      </w:r>
      <w:r w:rsidRPr="0031212F">
        <w:rPr>
          <w:sz w:val="20"/>
        </w:rPr>
        <w:t xml:space="preserve">6 m en la zona de Buenos Aires-Ciudad Serdán. </w:t>
      </w:r>
      <w:r>
        <w:rPr>
          <w:sz w:val="20"/>
        </w:rPr>
        <w:t xml:space="preserve">Recientemente </w:t>
      </w:r>
      <w:r w:rsidRPr="0031212F">
        <w:rPr>
          <w:sz w:val="20"/>
        </w:rPr>
        <w:t>(1996-2002)</w:t>
      </w:r>
      <w:r>
        <w:rPr>
          <w:sz w:val="20"/>
        </w:rPr>
        <w:t>,</w:t>
      </w:r>
      <w:r w:rsidRPr="0031212F">
        <w:rPr>
          <w:sz w:val="20"/>
        </w:rPr>
        <w:t xml:space="preserve"> se han considerado </w:t>
      </w:r>
      <w:r>
        <w:rPr>
          <w:sz w:val="20"/>
        </w:rPr>
        <w:t>desniveles de entre 2-4 m</w:t>
      </w:r>
      <w:r w:rsidR="00660647">
        <w:rPr>
          <w:sz w:val="20"/>
        </w:rPr>
        <w:t>,</w:t>
      </w:r>
      <w:r w:rsidRPr="0031212F">
        <w:rPr>
          <w:sz w:val="20"/>
        </w:rPr>
        <w:t xml:space="preserve"> con promedios anuales de entre 0.60-0.75 m</w:t>
      </w:r>
      <w:r>
        <w:rPr>
          <w:sz w:val="20"/>
        </w:rPr>
        <w:t xml:space="preserve">. Se identifican </w:t>
      </w:r>
      <w:r w:rsidRPr="0031212F">
        <w:rPr>
          <w:sz w:val="20"/>
        </w:rPr>
        <w:t>tres conos de abatim</w:t>
      </w:r>
      <w:r>
        <w:rPr>
          <w:sz w:val="20"/>
        </w:rPr>
        <w:t>iento: poniente de la cuenca (</w:t>
      </w:r>
      <w:r w:rsidRPr="0031212F">
        <w:rPr>
          <w:sz w:val="20"/>
        </w:rPr>
        <w:t>Tlaxcala</w:t>
      </w:r>
      <w:r>
        <w:rPr>
          <w:sz w:val="20"/>
        </w:rPr>
        <w:t>), y porción</w:t>
      </w:r>
      <w:r w:rsidRPr="0031212F">
        <w:rPr>
          <w:sz w:val="20"/>
        </w:rPr>
        <w:t xml:space="preserve"> sur</w:t>
      </w:r>
      <w:r>
        <w:rPr>
          <w:sz w:val="20"/>
        </w:rPr>
        <w:t xml:space="preserve">oriental </w:t>
      </w:r>
      <w:r w:rsidRPr="0031212F">
        <w:rPr>
          <w:sz w:val="20"/>
        </w:rPr>
        <w:t xml:space="preserve"> y noroccidente </w:t>
      </w:r>
      <w:r>
        <w:rPr>
          <w:sz w:val="20"/>
        </w:rPr>
        <w:t>del estado</w:t>
      </w:r>
      <w:r w:rsidRPr="0031212F">
        <w:rPr>
          <w:sz w:val="20"/>
        </w:rPr>
        <w:t xml:space="preserve"> de Puebla</w:t>
      </w:r>
      <w:r>
        <w:rPr>
          <w:sz w:val="20"/>
        </w:rPr>
        <w:t>.</w:t>
      </w:r>
    </w:p>
    <w:p w:rsidR="00030FF6" w:rsidRPr="00ED6304" w:rsidRDefault="00030FF6" w:rsidP="00030FF6">
      <w:pPr>
        <w:rPr>
          <w:sz w:val="20"/>
        </w:rPr>
      </w:pPr>
      <w:r w:rsidRPr="00030FF6">
        <w:rPr>
          <w:sz w:val="20"/>
        </w:rPr>
        <w:t>Es probable que la creciente extracción de agua, al provocar el abatimiento de la superficie freática en las áreas lacustres, este induci</w:t>
      </w:r>
      <w:r w:rsidR="00660647">
        <w:rPr>
          <w:sz w:val="20"/>
        </w:rPr>
        <w:t>en</w:t>
      </w:r>
      <w:r w:rsidRPr="00030FF6">
        <w:rPr>
          <w:sz w:val="20"/>
        </w:rPr>
        <w:t>do</w:t>
      </w:r>
      <w:r w:rsidR="00660647">
        <w:rPr>
          <w:sz w:val="20"/>
        </w:rPr>
        <w:t xml:space="preserve"> </w:t>
      </w:r>
      <w:r w:rsidRPr="00030FF6">
        <w:rPr>
          <w:sz w:val="20"/>
        </w:rPr>
        <w:t xml:space="preserve">una infiltración </w:t>
      </w:r>
      <w:r w:rsidR="00660647" w:rsidRPr="00030FF6">
        <w:rPr>
          <w:sz w:val="20"/>
        </w:rPr>
        <w:t xml:space="preserve">significativa </w:t>
      </w:r>
      <w:r w:rsidRPr="00030FF6">
        <w:rPr>
          <w:sz w:val="20"/>
        </w:rPr>
        <w:t xml:space="preserve">estacional </w:t>
      </w:r>
      <w:r w:rsidR="00660647">
        <w:rPr>
          <w:sz w:val="20"/>
        </w:rPr>
        <w:t xml:space="preserve">de agua de lluvia </w:t>
      </w:r>
      <w:r w:rsidRPr="00030FF6">
        <w:rPr>
          <w:sz w:val="20"/>
        </w:rPr>
        <w:t>en el lecho de los lagos, que originalmente no eran receptoras de recarga</w:t>
      </w:r>
      <w:r w:rsidR="00CC365C" w:rsidRPr="00ED6304">
        <w:rPr>
          <w:sz w:val="20"/>
        </w:rPr>
        <w:t xml:space="preserve">; no obstante, la carencia de piezómetros en las lagunas así como de estudios </w:t>
      </w:r>
      <w:r w:rsidR="007434D9" w:rsidRPr="00ED6304">
        <w:rPr>
          <w:sz w:val="20"/>
        </w:rPr>
        <w:t xml:space="preserve">recientes </w:t>
      </w:r>
      <w:r w:rsidR="00CC365C" w:rsidRPr="00ED6304">
        <w:rPr>
          <w:sz w:val="20"/>
        </w:rPr>
        <w:t xml:space="preserve">de estos fenómenos, sugiere la medición directa de estos factores </w:t>
      </w:r>
      <w:r w:rsidR="00CC365C" w:rsidRPr="00ED6304">
        <w:rPr>
          <w:sz w:val="20"/>
        </w:rPr>
        <w:lastRenderedPageBreak/>
        <w:t xml:space="preserve">para </w:t>
      </w:r>
      <w:r w:rsidR="00E60AAE" w:rsidRPr="00ED6304">
        <w:rPr>
          <w:sz w:val="20"/>
        </w:rPr>
        <w:t>conocer mejor los efectos de la pérdida de estas áreas como zonas de descarga permanente del acuífero.</w:t>
      </w:r>
    </w:p>
    <w:p w:rsidR="00192F21" w:rsidRDefault="00660647" w:rsidP="000E71C1">
      <w:pPr>
        <w:pStyle w:val="Ttulo2"/>
      </w:pPr>
      <w:r>
        <w:t xml:space="preserve"> </w:t>
      </w:r>
      <w:bookmarkStart w:id="5" w:name="_Toc283641764"/>
      <w:r w:rsidR="00192F21">
        <w:t>Problemática</w:t>
      </w:r>
      <w:bookmarkEnd w:id="5"/>
    </w:p>
    <w:p w:rsidR="00660647" w:rsidRPr="00660647" w:rsidRDefault="00E60AAE" w:rsidP="00E60AAE">
      <w:pPr>
        <w:rPr>
          <w:sz w:val="20"/>
        </w:rPr>
      </w:pPr>
      <w:r w:rsidRPr="00ED6304">
        <w:rPr>
          <w:sz w:val="20"/>
        </w:rPr>
        <w:t>El problema central en la zona de Huamantla y Libres–Oriental, es el e</w:t>
      </w:r>
      <w:r w:rsidR="00660647" w:rsidRPr="00ED6304">
        <w:rPr>
          <w:sz w:val="20"/>
        </w:rPr>
        <w:t>xcesivo</w:t>
      </w:r>
      <w:r w:rsidR="00660647" w:rsidRPr="00660647">
        <w:rPr>
          <w:sz w:val="20"/>
        </w:rPr>
        <w:t xml:space="preserve"> cambio en los usos de suelo </w:t>
      </w:r>
      <w:r w:rsidR="00660647" w:rsidRPr="00ED6304">
        <w:rPr>
          <w:sz w:val="20"/>
        </w:rPr>
        <w:t xml:space="preserve">y </w:t>
      </w:r>
      <w:r w:rsidRPr="00ED6304">
        <w:rPr>
          <w:sz w:val="20"/>
        </w:rPr>
        <w:t xml:space="preserve">el </w:t>
      </w:r>
      <w:r w:rsidR="00660647" w:rsidRPr="00ED6304">
        <w:rPr>
          <w:sz w:val="20"/>
        </w:rPr>
        <w:t>crecimiento</w:t>
      </w:r>
      <w:r w:rsidR="00660647" w:rsidRPr="00660647">
        <w:rPr>
          <w:sz w:val="20"/>
        </w:rPr>
        <w:t xml:space="preserve"> paulatino de extracciones de agua </w:t>
      </w:r>
      <w:r w:rsidR="00660647" w:rsidRPr="00ED6304">
        <w:rPr>
          <w:sz w:val="20"/>
        </w:rPr>
        <w:t xml:space="preserve">subterránea </w:t>
      </w:r>
      <w:r w:rsidRPr="00ED6304">
        <w:rPr>
          <w:sz w:val="20"/>
        </w:rPr>
        <w:t xml:space="preserve">que a través de las últimas décadas han resultado en </w:t>
      </w:r>
      <w:r w:rsidR="00660647" w:rsidRPr="00ED6304">
        <w:rPr>
          <w:sz w:val="20"/>
        </w:rPr>
        <w:t>notables</w:t>
      </w:r>
      <w:r w:rsidR="00660647" w:rsidRPr="00660647">
        <w:rPr>
          <w:sz w:val="20"/>
        </w:rPr>
        <w:t xml:space="preserve"> cambios, propios de un proceso gradual de desertificación.  Estas condiciones han afectado las características del proceso de recarga y descarga </w:t>
      </w:r>
      <w:r w:rsidR="00192F21">
        <w:rPr>
          <w:sz w:val="20"/>
        </w:rPr>
        <w:t>natural.</w:t>
      </w:r>
      <w:r w:rsidR="00660647" w:rsidRPr="00660647">
        <w:rPr>
          <w:sz w:val="20"/>
        </w:rPr>
        <w:t xml:space="preserve"> </w:t>
      </w:r>
    </w:p>
    <w:p w:rsidR="00660647" w:rsidRPr="00660647" w:rsidRDefault="00660647" w:rsidP="00660647">
      <w:pPr>
        <w:rPr>
          <w:sz w:val="20"/>
        </w:rPr>
      </w:pPr>
      <w:r w:rsidRPr="00660647">
        <w:rPr>
          <w:sz w:val="20"/>
        </w:rPr>
        <w:t>La sobreexplotación es hasta ahora en apariencia moderada, no constituyendo una amenaza en cantidad para el horizonte d</w:t>
      </w:r>
      <w:r w:rsidR="00DF6033">
        <w:rPr>
          <w:sz w:val="20"/>
        </w:rPr>
        <w:t>e planeación hacia el año 2040, sin embargo, esta condición es a costa de la desaparición de las lagunas El Carmen y El Salado. Para el acuífero Huamantla s</w:t>
      </w:r>
      <w:r w:rsidRPr="00660647">
        <w:rPr>
          <w:sz w:val="20"/>
        </w:rPr>
        <w:t>e observa un descenso más acelerado de los niveles piezométricos.</w:t>
      </w:r>
    </w:p>
    <w:p w:rsidR="00660647" w:rsidRDefault="00660647" w:rsidP="00660647">
      <w:pPr>
        <w:rPr>
          <w:sz w:val="20"/>
        </w:rPr>
      </w:pPr>
      <w:r w:rsidRPr="00660647">
        <w:rPr>
          <w:sz w:val="20"/>
        </w:rPr>
        <w:t xml:space="preserve">Aún cuando los acuíferos presentan una continuidad hidrogeológica entre sí, la </w:t>
      </w:r>
      <w:r w:rsidR="00AC5B19">
        <w:rPr>
          <w:sz w:val="20"/>
        </w:rPr>
        <w:t xml:space="preserve">administración de cada uno de ellos a partir de la </w:t>
      </w:r>
      <w:r w:rsidRPr="00660647">
        <w:rPr>
          <w:sz w:val="20"/>
        </w:rPr>
        <w:t xml:space="preserve">división política estatal ha </w:t>
      </w:r>
      <w:r w:rsidR="00535123">
        <w:rPr>
          <w:sz w:val="20"/>
        </w:rPr>
        <w:t xml:space="preserve">dificultado </w:t>
      </w:r>
      <w:r w:rsidRPr="00660647">
        <w:rPr>
          <w:sz w:val="20"/>
        </w:rPr>
        <w:t xml:space="preserve">la coordinación interestatal </w:t>
      </w:r>
      <w:r w:rsidR="00AC5B19">
        <w:rPr>
          <w:sz w:val="20"/>
        </w:rPr>
        <w:t>en</w:t>
      </w:r>
      <w:r w:rsidRPr="00660647">
        <w:rPr>
          <w:sz w:val="20"/>
        </w:rPr>
        <w:t xml:space="preserve"> el manejo integrado de las aguas subterráneas.</w:t>
      </w:r>
    </w:p>
    <w:p w:rsidR="00AC5B19" w:rsidRPr="00AC5B19" w:rsidRDefault="00535123" w:rsidP="00AC5B19">
      <w:pPr>
        <w:rPr>
          <w:sz w:val="20"/>
        </w:rPr>
      </w:pPr>
      <w:r>
        <w:rPr>
          <w:sz w:val="20"/>
        </w:rPr>
        <w:t>Para</w:t>
      </w:r>
      <w:r w:rsidR="00AC5B19" w:rsidRPr="00AC5B19">
        <w:rPr>
          <w:sz w:val="20"/>
        </w:rPr>
        <w:t xml:space="preserve"> efectos de sobreexplotación, los estudios técnicos carecen de actualidad y las configuraciones piezométricas no </w:t>
      </w:r>
      <w:r w:rsidR="00E60AAE" w:rsidRPr="00ED6304">
        <w:rPr>
          <w:sz w:val="20"/>
        </w:rPr>
        <w:t>representan una sobreexplotación continua ni generalizada, ya que algunos años han tenido recuperación de los niveles piezométricos; sin embargo, el análisis de piezómetros con registros superiores a los 20 años, confirman una clara aunque moderada tendencia de abatimiento en los niveles</w:t>
      </w:r>
      <w:r w:rsidR="00AC5B19" w:rsidRPr="00ED6304">
        <w:rPr>
          <w:sz w:val="20"/>
        </w:rPr>
        <w:t>.</w:t>
      </w:r>
      <w:r w:rsidR="00AC5B19" w:rsidRPr="00AC5B19">
        <w:rPr>
          <w:sz w:val="20"/>
        </w:rPr>
        <w:t xml:space="preserve">  </w:t>
      </w:r>
    </w:p>
    <w:p w:rsidR="00535123" w:rsidRDefault="00AC5B19" w:rsidP="00535123">
      <w:pPr>
        <w:rPr>
          <w:sz w:val="20"/>
        </w:rPr>
      </w:pPr>
      <w:r>
        <w:rPr>
          <w:sz w:val="20"/>
        </w:rPr>
        <w:t xml:space="preserve">Los volúmenes reales de aprovechamiento superan a los </w:t>
      </w:r>
      <w:r w:rsidR="00535123">
        <w:rPr>
          <w:sz w:val="20"/>
        </w:rPr>
        <w:t>reportados</w:t>
      </w:r>
      <w:r>
        <w:rPr>
          <w:sz w:val="20"/>
        </w:rPr>
        <w:t xml:space="preserve"> en el Registro Público de Derechos de Agua (REPDA)</w:t>
      </w:r>
      <w:r w:rsidR="00535123">
        <w:rPr>
          <w:sz w:val="20"/>
        </w:rPr>
        <w:t>,</w:t>
      </w:r>
      <w:r>
        <w:rPr>
          <w:sz w:val="20"/>
        </w:rPr>
        <w:t xml:space="preserve"> sobre todo </w:t>
      </w:r>
      <w:r w:rsidR="00535123">
        <w:rPr>
          <w:sz w:val="20"/>
        </w:rPr>
        <w:t xml:space="preserve">en los sectores agrícola y público-urbano. </w:t>
      </w:r>
      <w:r w:rsidR="00E60AAE">
        <w:rPr>
          <w:sz w:val="20"/>
        </w:rPr>
        <w:t xml:space="preserve"> </w:t>
      </w:r>
      <w:r w:rsidR="00E60AAE" w:rsidRPr="00ED6304">
        <w:rPr>
          <w:sz w:val="20"/>
        </w:rPr>
        <w:t>E</w:t>
      </w:r>
      <w:r w:rsidR="00535123" w:rsidRPr="00ED6304">
        <w:rPr>
          <w:sz w:val="20"/>
        </w:rPr>
        <w:t>l porcentaje de aprovechamientos que cuentan con un medidor volumétrico, del orden del 20%,</w:t>
      </w:r>
      <w:r w:rsidR="00E60AAE" w:rsidRPr="00ED6304">
        <w:rPr>
          <w:sz w:val="20"/>
        </w:rPr>
        <w:t xml:space="preserve"> aún es muy bajo; por ello</w:t>
      </w:r>
      <w:r w:rsidR="00932FD0" w:rsidRPr="00ED6304">
        <w:rPr>
          <w:sz w:val="20"/>
        </w:rPr>
        <w:t>, principalmente en captaciones de uso agrícola, existe una baja</w:t>
      </w:r>
      <w:r w:rsidR="00E60AAE" w:rsidRPr="00ED6304">
        <w:rPr>
          <w:sz w:val="20"/>
        </w:rPr>
        <w:t xml:space="preserve"> precisión </w:t>
      </w:r>
      <w:r w:rsidR="00932FD0" w:rsidRPr="00ED6304">
        <w:rPr>
          <w:sz w:val="20"/>
        </w:rPr>
        <w:t>en l</w:t>
      </w:r>
      <w:r w:rsidR="00535123" w:rsidRPr="00ED6304">
        <w:rPr>
          <w:sz w:val="20"/>
        </w:rPr>
        <w:t>a estimación del gasto</w:t>
      </w:r>
      <w:r w:rsidR="00535123" w:rsidRPr="00AC5B19">
        <w:rPr>
          <w:sz w:val="20"/>
        </w:rPr>
        <w:t xml:space="preserve">.  </w:t>
      </w:r>
    </w:p>
    <w:p w:rsidR="00660647" w:rsidRPr="00535123" w:rsidRDefault="00660647" w:rsidP="00ED0B09">
      <w:pPr>
        <w:rPr>
          <w:sz w:val="20"/>
        </w:rPr>
      </w:pPr>
      <w:r w:rsidRPr="00660647">
        <w:rPr>
          <w:sz w:val="20"/>
        </w:rPr>
        <w:t>El Comité Técnico de Aguas Subterráneas (COTAS) se encuentra aún en un pro</w:t>
      </w:r>
      <w:r w:rsidR="00535123">
        <w:rPr>
          <w:sz w:val="20"/>
        </w:rPr>
        <w:t>ceso de gestión y consolidación, e</w:t>
      </w:r>
      <w:r w:rsidRPr="00660647">
        <w:rPr>
          <w:sz w:val="20"/>
        </w:rPr>
        <w:t>sto significa que todavía no desempeña las funciones que logrará realizar en el futuro, cuando cuente con mayores recursos humanos, técnicos y económicos.</w:t>
      </w:r>
      <w:r w:rsidR="00B74914">
        <w:rPr>
          <w:sz w:val="20"/>
        </w:rPr>
        <w:t xml:space="preserve"> </w:t>
      </w:r>
      <w:r w:rsidR="00535123" w:rsidRPr="00535123">
        <w:rPr>
          <w:sz w:val="20"/>
        </w:rPr>
        <w:t xml:space="preserve">En diagnósticos anteriores realizados por el COTAS se identifican las siguientes problemáticas: limitada oferta de agua pero incremento en su demanda; vulnerabilidad a la contaminación; creciente competencia por el agua; alta concentración de pozos (Huamantla y </w:t>
      </w:r>
      <w:proofErr w:type="spellStart"/>
      <w:r w:rsidR="00535123" w:rsidRPr="00535123">
        <w:rPr>
          <w:sz w:val="20"/>
        </w:rPr>
        <w:t>Cuapiaxtla</w:t>
      </w:r>
      <w:proofErr w:type="spellEnd"/>
      <w:r w:rsidR="00535123" w:rsidRPr="00535123">
        <w:rPr>
          <w:sz w:val="20"/>
        </w:rPr>
        <w:t>), y abatimientos puntales en Puebla y Tlaxcala.</w:t>
      </w:r>
    </w:p>
    <w:p w:rsidR="00924CBE" w:rsidRDefault="00924CBE" w:rsidP="000E71C1">
      <w:pPr>
        <w:pStyle w:val="Ttulo2"/>
      </w:pPr>
      <w:bookmarkStart w:id="6" w:name="_Toc283641765"/>
      <w:r>
        <w:t>Objetivos</w:t>
      </w:r>
      <w:r w:rsidR="00932FD0">
        <w:t xml:space="preserve"> </w:t>
      </w:r>
      <w:r w:rsidR="00932FD0" w:rsidRPr="00ED6304">
        <w:t>del Plan de Manejo</w:t>
      </w:r>
      <w:bookmarkEnd w:id="6"/>
    </w:p>
    <w:p w:rsidR="0046365C" w:rsidRPr="002A7367" w:rsidRDefault="0046365C" w:rsidP="0046365C">
      <w:pPr>
        <w:rPr>
          <w:sz w:val="20"/>
        </w:rPr>
      </w:pPr>
      <w:r w:rsidRPr="00932FD0">
        <w:rPr>
          <w:b/>
          <w:sz w:val="20"/>
        </w:rPr>
        <w:t>Objetivo General</w:t>
      </w:r>
      <w:r w:rsidRPr="002A7367">
        <w:rPr>
          <w:sz w:val="20"/>
        </w:rPr>
        <w:t>: Adecuar el desarrollo de la región y de su entorno para un manejo sustentable del acuífero Huamantla-Libres Oriental-Perote, en congruencia con el contexto de la actual política nacional hídrica.</w:t>
      </w:r>
    </w:p>
    <w:p w:rsidR="0046365C" w:rsidRPr="002A7367" w:rsidRDefault="0046365C" w:rsidP="0046365C">
      <w:pPr>
        <w:rPr>
          <w:sz w:val="20"/>
        </w:rPr>
      </w:pPr>
      <w:r w:rsidRPr="00932FD0">
        <w:rPr>
          <w:b/>
          <w:sz w:val="20"/>
        </w:rPr>
        <w:t>Objetivos Específicos</w:t>
      </w:r>
      <w:r w:rsidRPr="002A7367">
        <w:rPr>
          <w:sz w:val="20"/>
        </w:rPr>
        <w:t xml:space="preserve">: </w:t>
      </w:r>
      <w:r w:rsidR="00932FD0" w:rsidRPr="007434D9">
        <w:rPr>
          <w:sz w:val="20"/>
        </w:rPr>
        <w:t xml:space="preserve">i) </w:t>
      </w:r>
      <w:r w:rsidRPr="007434D9">
        <w:rPr>
          <w:sz w:val="20"/>
        </w:rPr>
        <w:t xml:space="preserve">Mejorar la productividad del agua en el sector agrícola; </w:t>
      </w:r>
      <w:proofErr w:type="spellStart"/>
      <w:r w:rsidR="00932FD0" w:rsidRPr="007434D9">
        <w:rPr>
          <w:sz w:val="20"/>
        </w:rPr>
        <w:t>ii</w:t>
      </w:r>
      <w:proofErr w:type="spellEnd"/>
      <w:r w:rsidR="00932FD0" w:rsidRPr="007434D9">
        <w:rPr>
          <w:sz w:val="20"/>
        </w:rPr>
        <w:t xml:space="preserve">) </w:t>
      </w:r>
      <w:r w:rsidRPr="007434D9">
        <w:rPr>
          <w:sz w:val="20"/>
        </w:rPr>
        <w:t xml:space="preserve">Incrementar el acceso y la calidad de los servicios de agua potable, alcantarillado y saneamiento; </w:t>
      </w:r>
      <w:proofErr w:type="spellStart"/>
      <w:r w:rsidR="00932FD0" w:rsidRPr="007434D9">
        <w:rPr>
          <w:sz w:val="20"/>
        </w:rPr>
        <w:t>iii</w:t>
      </w:r>
      <w:proofErr w:type="spellEnd"/>
      <w:r w:rsidR="00932FD0" w:rsidRPr="007434D9">
        <w:rPr>
          <w:sz w:val="20"/>
        </w:rPr>
        <w:t xml:space="preserve">) </w:t>
      </w:r>
      <w:r w:rsidRPr="007434D9">
        <w:rPr>
          <w:sz w:val="20"/>
        </w:rPr>
        <w:t xml:space="preserve">Promover el manejo integrado del agua en cuencas y acuíferos; </w:t>
      </w:r>
      <w:proofErr w:type="spellStart"/>
      <w:r w:rsidR="00932FD0" w:rsidRPr="007434D9">
        <w:rPr>
          <w:sz w:val="20"/>
        </w:rPr>
        <w:t>iv</w:t>
      </w:r>
      <w:proofErr w:type="spellEnd"/>
      <w:r w:rsidR="00932FD0" w:rsidRPr="007434D9">
        <w:rPr>
          <w:sz w:val="20"/>
        </w:rPr>
        <w:t xml:space="preserve">) </w:t>
      </w:r>
      <w:r w:rsidRPr="007434D9">
        <w:rPr>
          <w:sz w:val="20"/>
        </w:rPr>
        <w:t xml:space="preserve">Mejorar el desarrollo técnico, administrativo y financiero del sector hidráulico; </w:t>
      </w:r>
      <w:r w:rsidR="00932FD0" w:rsidRPr="007434D9">
        <w:rPr>
          <w:sz w:val="20"/>
        </w:rPr>
        <w:t xml:space="preserve">v) </w:t>
      </w:r>
      <w:r w:rsidRPr="007434D9">
        <w:rPr>
          <w:sz w:val="20"/>
        </w:rPr>
        <w:t xml:space="preserve">Consolidar la participación de los usuarios y la sociedad organizada en el manejo del agua y promover la cultura del buen uso; </w:t>
      </w:r>
      <w:r w:rsidR="00932FD0" w:rsidRPr="007434D9">
        <w:rPr>
          <w:sz w:val="20"/>
        </w:rPr>
        <w:t xml:space="preserve">vi) </w:t>
      </w:r>
      <w:r w:rsidRPr="007434D9">
        <w:rPr>
          <w:sz w:val="20"/>
        </w:rPr>
        <w:t xml:space="preserve">Prevenir los riesgos derivados de los fenómenos meteorológicos e hidrometeorológicos y atender sus efectos; </w:t>
      </w:r>
      <w:proofErr w:type="spellStart"/>
      <w:r w:rsidR="00932FD0" w:rsidRPr="007434D9">
        <w:rPr>
          <w:sz w:val="20"/>
        </w:rPr>
        <w:t>vii</w:t>
      </w:r>
      <w:proofErr w:type="spellEnd"/>
      <w:r w:rsidR="00932FD0" w:rsidRPr="007434D9">
        <w:rPr>
          <w:sz w:val="20"/>
        </w:rPr>
        <w:t xml:space="preserve">) </w:t>
      </w:r>
      <w:r w:rsidRPr="007434D9">
        <w:rPr>
          <w:sz w:val="20"/>
        </w:rPr>
        <w:t xml:space="preserve">Evaluar los efectos del cambio climático e hidrológico global y local; </w:t>
      </w:r>
      <w:proofErr w:type="spellStart"/>
      <w:r w:rsidR="00932FD0" w:rsidRPr="007434D9">
        <w:rPr>
          <w:sz w:val="20"/>
        </w:rPr>
        <w:t>viii</w:t>
      </w:r>
      <w:proofErr w:type="spellEnd"/>
      <w:r w:rsidR="00932FD0" w:rsidRPr="007434D9">
        <w:rPr>
          <w:sz w:val="20"/>
        </w:rPr>
        <w:t xml:space="preserve">) </w:t>
      </w:r>
      <w:r w:rsidRPr="007434D9">
        <w:rPr>
          <w:sz w:val="20"/>
        </w:rPr>
        <w:t>Crear una cultura contributiva y de cumplimiento a la LAN en materia administrativa.</w:t>
      </w:r>
    </w:p>
    <w:p w:rsidR="00001B54" w:rsidRPr="00386816" w:rsidRDefault="00001B54" w:rsidP="00BA3FE3">
      <w:pPr>
        <w:pStyle w:val="Ttulo1"/>
      </w:pPr>
      <w:bookmarkStart w:id="7" w:name="_Toc283641766"/>
      <w:r w:rsidRPr="00386816">
        <w:lastRenderedPageBreak/>
        <w:t>Situación a</w:t>
      </w:r>
      <w:r w:rsidR="00386816" w:rsidRPr="00386816">
        <w:t>ctual</w:t>
      </w:r>
      <w:bookmarkEnd w:id="7"/>
    </w:p>
    <w:p w:rsidR="00924CBE" w:rsidRPr="00243F4C" w:rsidRDefault="00924CBE" w:rsidP="000E71C1">
      <w:pPr>
        <w:pStyle w:val="Estilo2"/>
      </w:pPr>
      <w:bookmarkStart w:id="8" w:name="_Toc283641767"/>
      <w:r w:rsidRPr="00243F4C">
        <w:t>Población y desarrollo socioeconómico</w:t>
      </w:r>
      <w:bookmarkEnd w:id="8"/>
    </w:p>
    <w:p w:rsidR="00B873A1" w:rsidRPr="007434D9" w:rsidRDefault="00932FD0" w:rsidP="00B873A1">
      <w:pPr>
        <w:rPr>
          <w:sz w:val="20"/>
        </w:rPr>
      </w:pPr>
      <w:r w:rsidRPr="007434D9">
        <w:rPr>
          <w:sz w:val="20"/>
        </w:rPr>
        <w:t>Dentro de cada uno de los tres estados que participan en los acuíferos, las principales localidades son</w:t>
      </w:r>
      <w:r w:rsidR="00B873A1" w:rsidRPr="007434D9">
        <w:rPr>
          <w:sz w:val="20"/>
        </w:rPr>
        <w:t>: Ciudad Serdán (Puebla), Huamantla</w:t>
      </w:r>
      <w:r w:rsidRPr="007434D9">
        <w:rPr>
          <w:sz w:val="20"/>
        </w:rPr>
        <w:t xml:space="preserve"> (Tlaxcala) y Perote (Veracruz);</w:t>
      </w:r>
      <w:r w:rsidR="00B873A1" w:rsidRPr="007434D9">
        <w:rPr>
          <w:sz w:val="20"/>
        </w:rPr>
        <w:t xml:space="preserve"> </w:t>
      </w:r>
      <w:r w:rsidRPr="007434D9">
        <w:rPr>
          <w:sz w:val="20"/>
        </w:rPr>
        <w:t>la población conjunta de éstas localidades en el año 2009 asciende aproximadamente a 663 mil</w:t>
      </w:r>
      <w:r w:rsidR="00B873A1" w:rsidRPr="007434D9">
        <w:rPr>
          <w:sz w:val="20"/>
        </w:rPr>
        <w:t xml:space="preserve"> habitantes. </w:t>
      </w:r>
      <w:r w:rsidRPr="007434D9">
        <w:rPr>
          <w:sz w:val="20"/>
        </w:rPr>
        <w:t>Dentro de los acuíferos</w:t>
      </w:r>
      <w:r w:rsidR="00172857" w:rsidRPr="007434D9">
        <w:rPr>
          <w:sz w:val="20"/>
        </w:rPr>
        <w:t xml:space="preserve"> se identifican </w:t>
      </w:r>
      <w:r w:rsidR="00B873A1" w:rsidRPr="007434D9">
        <w:rPr>
          <w:sz w:val="20"/>
        </w:rPr>
        <w:t>8 localidades mayores a 10,000 habitantes.</w:t>
      </w:r>
    </w:p>
    <w:p w:rsidR="00B873A1" w:rsidRPr="002C1057" w:rsidRDefault="00B873A1" w:rsidP="002C1057">
      <w:pPr>
        <w:pStyle w:val="Tabla1cap2"/>
      </w:pPr>
      <w:bookmarkStart w:id="9" w:name="_Toc245795528"/>
      <w:bookmarkStart w:id="10" w:name="_Toc259551976"/>
      <w:bookmarkStart w:id="11" w:name="_Ref273113013"/>
      <w:bookmarkStart w:id="12" w:name="_Toc273711689"/>
      <w:r w:rsidRPr="002C1057">
        <w:t>Área de estudio. Localidades según rangos de población</w:t>
      </w:r>
      <w:bookmarkEnd w:id="9"/>
      <w:bookmarkEnd w:id="10"/>
      <w:bookmarkEnd w:id="11"/>
      <w:bookmarkEnd w:id="12"/>
    </w:p>
    <w:tbl>
      <w:tblPr>
        <w:tblW w:w="9899" w:type="dxa"/>
        <w:jc w:val="center"/>
        <w:tblInd w:w="250" w:type="dxa"/>
        <w:tblBorders>
          <w:top w:val="single" w:sz="12" w:space="0" w:color="008000"/>
          <w:bottom w:val="single" w:sz="12" w:space="0" w:color="008000"/>
        </w:tblBorders>
        <w:tblLook w:val="04A0"/>
      </w:tblPr>
      <w:tblGrid>
        <w:gridCol w:w="1536"/>
        <w:gridCol w:w="2551"/>
        <w:gridCol w:w="3261"/>
        <w:gridCol w:w="1275"/>
        <w:gridCol w:w="1276"/>
      </w:tblGrid>
      <w:tr w:rsidR="00B873A1" w:rsidRPr="004205AA" w:rsidTr="00391B54">
        <w:trPr>
          <w:tblHeader/>
          <w:jc w:val="center"/>
        </w:trPr>
        <w:tc>
          <w:tcPr>
            <w:tcW w:w="1536" w:type="dxa"/>
            <w:tcBorders>
              <w:bottom w:val="single" w:sz="6" w:space="0" w:color="008000"/>
            </w:tcBorders>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Estado</w:t>
            </w:r>
          </w:p>
        </w:tc>
        <w:tc>
          <w:tcPr>
            <w:tcW w:w="2551" w:type="dxa"/>
            <w:tcBorders>
              <w:bottom w:val="single" w:sz="6" w:space="0" w:color="008000"/>
            </w:tcBorders>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Municipio</w:t>
            </w:r>
          </w:p>
        </w:tc>
        <w:tc>
          <w:tcPr>
            <w:tcW w:w="3261" w:type="dxa"/>
            <w:tcBorders>
              <w:bottom w:val="single" w:sz="6" w:space="0" w:color="008000"/>
            </w:tcBorders>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Localidad</w:t>
            </w:r>
          </w:p>
        </w:tc>
        <w:tc>
          <w:tcPr>
            <w:tcW w:w="1275" w:type="dxa"/>
            <w:tcBorders>
              <w:bottom w:val="single" w:sz="6" w:space="0" w:color="008000"/>
            </w:tcBorders>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No. Localidades</w:t>
            </w:r>
          </w:p>
        </w:tc>
        <w:tc>
          <w:tcPr>
            <w:tcW w:w="1276" w:type="dxa"/>
            <w:tcBorders>
              <w:bottom w:val="single" w:sz="6" w:space="0" w:color="008000"/>
            </w:tcBorders>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Población 2009</w:t>
            </w:r>
          </w:p>
        </w:tc>
      </w:tr>
      <w:tr w:rsidR="00B873A1" w:rsidRPr="004205AA" w:rsidTr="00391B54">
        <w:trPr>
          <w:jc w:val="center"/>
        </w:trPr>
        <w:tc>
          <w:tcPr>
            <w:tcW w:w="1536" w:type="dxa"/>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Libres Oriental</w:t>
            </w:r>
          </w:p>
        </w:tc>
        <w:tc>
          <w:tcPr>
            <w:tcW w:w="255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proofErr w:type="spellStart"/>
            <w:r w:rsidRPr="004205AA">
              <w:rPr>
                <w:rFonts w:eastAsia="Calibri" w:cs="Arial"/>
                <w:sz w:val="18"/>
                <w:szCs w:val="18"/>
              </w:rPr>
              <w:t>Chalchicomula</w:t>
            </w:r>
            <w:proofErr w:type="spellEnd"/>
            <w:r w:rsidRPr="004205AA">
              <w:rPr>
                <w:rFonts w:eastAsia="Calibri" w:cs="Arial"/>
                <w:sz w:val="18"/>
                <w:szCs w:val="18"/>
              </w:rPr>
              <w:t xml:space="preserve"> de Sesma</w:t>
            </w:r>
          </w:p>
        </w:tc>
        <w:tc>
          <w:tcPr>
            <w:tcW w:w="326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Ciudad Serdán</w:t>
            </w:r>
          </w:p>
        </w:tc>
        <w:tc>
          <w:tcPr>
            <w:tcW w:w="1275"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w:t>
            </w:r>
          </w:p>
        </w:tc>
        <w:tc>
          <w:tcPr>
            <w:tcW w:w="1276"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22,649</w:t>
            </w:r>
          </w:p>
        </w:tc>
      </w:tr>
      <w:tr w:rsidR="00B873A1" w:rsidRPr="004205AA" w:rsidTr="00391B54">
        <w:trPr>
          <w:jc w:val="center"/>
        </w:trPr>
        <w:tc>
          <w:tcPr>
            <w:tcW w:w="1536" w:type="dxa"/>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Libres Oriental</w:t>
            </w:r>
          </w:p>
        </w:tc>
        <w:tc>
          <w:tcPr>
            <w:tcW w:w="255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Libres</w:t>
            </w:r>
          </w:p>
        </w:tc>
        <w:tc>
          <w:tcPr>
            <w:tcW w:w="326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Ciudad de Libres</w:t>
            </w:r>
          </w:p>
        </w:tc>
        <w:tc>
          <w:tcPr>
            <w:tcW w:w="1275"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w:t>
            </w:r>
          </w:p>
        </w:tc>
        <w:tc>
          <w:tcPr>
            <w:tcW w:w="1276"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15,032</w:t>
            </w:r>
          </w:p>
        </w:tc>
      </w:tr>
      <w:tr w:rsidR="00B873A1" w:rsidRPr="004205AA" w:rsidTr="00391B54">
        <w:trPr>
          <w:jc w:val="center"/>
        </w:trPr>
        <w:tc>
          <w:tcPr>
            <w:tcW w:w="1536" w:type="dxa"/>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Libres Oriental</w:t>
            </w:r>
          </w:p>
        </w:tc>
        <w:tc>
          <w:tcPr>
            <w:tcW w:w="255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Sal Salvador El Seco</w:t>
            </w:r>
          </w:p>
        </w:tc>
        <w:tc>
          <w:tcPr>
            <w:tcW w:w="326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San Salvador El Seco</w:t>
            </w:r>
          </w:p>
        </w:tc>
        <w:tc>
          <w:tcPr>
            <w:tcW w:w="1275"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w:t>
            </w:r>
          </w:p>
        </w:tc>
        <w:tc>
          <w:tcPr>
            <w:tcW w:w="1276"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17,082</w:t>
            </w:r>
          </w:p>
        </w:tc>
      </w:tr>
      <w:tr w:rsidR="00B873A1" w:rsidRPr="004205AA" w:rsidTr="00391B54">
        <w:trPr>
          <w:jc w:val="center"/>
        </w:trPr>
        <w:tc>
          <w:tcPr>
            <w:tcW w:w="1536" w:type="dxa"/>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Huamantla</w:t>
            </w:r>
          </w:p>
        </w:tc>
        <w:tc>
          <w:tcPr>
            <w:tcW w:w="255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Huamantla</w:t>
            </w:r>
          </w:p>
        </w:tc>
        <w:tc>
          <w:tcPr>
            <w:tcW w:w="326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Huamantla</w:t>
            </w:r>
          </w:p>
        </w:tc>
        <w:tc>
          <w:tcPr>
            <w:tcW w:w="1275"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w:t>
            </w:r>
          </w:p>
        </w:tc>
        <w:tc>
          <w:tcPr>
            <w:tcW w:w="1276"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52,108</w:t>
            </w:r>
          </w:p>
        </w:tc>
      </w:tr>
      <w:tr w:rsidR="00B873A1" w:rsidRPr="004205AA" w:rsidTr="00391B54">
        <w:trPr>
          <w:jc w:val="center"/>
        </w:trPr>
        <w:tc>
          <w:tcPr>
            <w:tcW w:w="1536" w:type="dxa"/>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Huamantla</w:t>
            </w:r>
          </w:p>
        </w:tc>
        <w:tc>
          <w:tcPr>
            <w:tcW w:w="255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 xml:space="preserve">El Carmen </w:t>
            </w:r>
            <w:proofErr w:type="spellStart"/>
            <w:r w:rsidRPr="004205AA">
              <w:rPr>
                <w:rFonts w:eastAsia="Calibri" w:cs="Arial"/>
                <w:sz w:val="18"/>
                <w:szCs w:val="18"/>
              </w:rPr>
              <w:t>Tequexquitla</w:t>
            </w:r>
            <w:proofErr w:type="spellEnd"/>
          </w:p>
        </w:tc>
        <w:tc>
          <w:tcPr>
            <w:tcW w:w="326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 xml:space="preserve">Valle de El Carmen </w:t>
            </w:r>
            <w:proofErr w:type="spellStart"/>
            <w:r w:rsidRPr="004205AA">
              <w:rPr>
                <w:rFonts w:eastAsia="Calibri" w:cs="Arial"/>
                <w:sz w:val="18"/>
                <w:szCs w:val="18"/>
              </w:rPr>
              <w:t>Tequexquitla</w:t>
            </w:r>
            <w:proofErr w:type="spellEnd"/>
          </w:p>
        </w:tc>
        <w:tc>
          <w:tcPr>
            <w:tcW w:w="1275"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w:t>
            </w:r>
          </w:p>
        </w:tc>
        <w:tc>
          <w:tcPr>
            <w:tcW w:w="1276"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14,035</w:t>
            </w:r>
          </w:p>
        </w:tc>
      </w:tr>
      <w:tr w:rsidR="00B873A1" w:rsidRPr="004205AA" w:rsidTr="00391B54">
        <w:trPr>
          <w:jc w:val="center"/>
        </w:trPr>
        <w:tc>
          <w:tcPr>
            <w:tcW w:w="1536" w:type="dxa"/>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Perote</w:t>
            </w:r>
          </w:p>
        </w:tc>
        <w:tc>
          <w:tcPr>
            <w:tcW w:w="255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Perote</w:t>
            </w:r>
          </w:p>
        </w:tc>
        <w:tc>
          <w:tcPr>
            <w:tcW w:w="326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Perote</w:t>
            </w:r>
          </w:p>
        </w:tc>
        <w:tc>
          <w:tcPr>
            <w:tcW w:w="1275"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w:t>
            </w:r>
          </w:p>
        </w:tc>
        <w:tc>
          <w:tcPr>
            <w:tcW w:w="1276"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38,380</w:t>
            </w:r>
          </w:p>
        </w:tc>
      </w:tr>
      <w:tr w:rsidR="00B873A1" w:rsidRPr="004205AA" w:rsidTr="00391B54">
        <w:trPr>
          <w:jc w:val="center"/>
        </w:trPr>
        <w:tc>
          <w:tcPr>
            <w:tcW w:w="1536" w:type="dxa"/>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Perote</w:t>
            </w:r>
          </w:p>
        </w:tc>
        <w:tc>
          <w:tcPr>
            <w:tcW w:w="255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proofErr w:type="spellStart"/>
            <w:r w:rsidRPr="004205AA">
              <w:rPr>
                <w:rFonts w:eastAsia="Calibri" w:cs="Arial"/>
                <w:sz w:val="18"/>
                <w:szCs w:val="18"/>
              </w:rPr>
              <w:t>Altotonga</w:t>
            </w:r>
            <w:proofErr w:type="spellEnd"/>
          </w:p>
        </w:tc>
        <w:tc>
          <w:tcPr>
            <w:tcW w:w="326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proofErr w:type="spellStart"/>
            <w:r w:rsidRPr="004205AA">
              <w:rPr>
                <w:rFonts w:eastAsia="Calibri" w:cs="Arial"/>
                <w:sz w:val="18"/>
                <w:szCs w:val="18"/>
              </w:rPr>
              <w:t>Altotonga</w:t>
            </w:r>
            <w:proofErr w:type="spellEnd"/>
          </w:p>
        </w:tc>
        <w:tc>
          <w:tcPr>
            <w:tcW w:w="1275"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w:t>
            </w:r>
          </w:p>
        </w:tc>
        <w:tc>
          <w:tcPr>
            <w:tcW w:w="1276"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19,527</w:t>
            </w:r>
          </w:p>
        </w:tc>
      </w:tr>
      <w:tr w:rsidR="00B873A1" w:rsidRPr="004205AA" w:rsidTr="00391B54">
        <w:trPr>
          <w:jc w:val="center"/>
        </w:trPr>
        <w:tc>
          <w:tcPr>
            <w:tcW w:w="1536" w:type="dxa"/>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 xml:space="preserve">Perote </w:t>
            </w:r>
          </w:p>
        </w:tc>
        <w:tc>
          <w:tcPr>
            <w:tcW w:w="255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proofErr w:type="spellStart"/>
            <w:r w:rsidRPr="004205AA">
              <w:rPr>
                <w:rFonts w:eastAsia="Calibri" w:cs="Arial"/>
                <w:sz w:val="18"/>
                <w:szCs w:val="18"/>
              </w:rPr>
              <w:t>Jalacingo</w:t>
            </w:r>
            <w:proofErr w:type="spellEnd"/>
          </w:p>
        </w:tc>
        <w:tc>
          <w:tcPr>
            <w:tcW w:w="326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proofErr w:type="spellStart"/>
            <w:r w:rsidRPr="004205AA">
              <w:rPr>
                <w:rFonts w:eastAsia="Calibri" w:cs="Arial"/>
                <w:sz w:val="18"/>
                <w:szCs w:val="18"/>
              </w:rPr>
              <w:t>Jalancingo</w:t>
            </w:r>
            <w:proofErr w:type="spellEnd"/>
          </w:p>
        </w:tc>
        <w:tc>
          <w:tcPr>
            <w:tcW w:w="1275"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w:t>
            </w:r>
          </w:p>
        </w:tc>
        <w:tc>
          <w:tcPr>
            <w:tcW w:w="1276"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13,231</w:t>
            </w:r>
          </w:p>
        </w:tc>
      </w:tr>
      <w:tr w:rsidR="00B873A1" w:rsidRPr="004205AA" w:rsidTr="00391B54">
        <w:trPr>
          <w:jc w:val="center"/>
        </w:trPr>
        <w:tc>
          <w:tcPr>
            <w:tcW w:w="1536" w:type="dxa"/>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Varios</w:t>
            </w:r>
          </w:p>
        </w:tc>
        <w:tc>
          <w:tcPr>
            <w:tcW w:w="255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Varios</w:t>
            </w:r>
          </w:p>
        </w:tc>
        <w:tc>
          <w:tcPr>
            <w:tcW w:w="326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 xml:space="preserve">De 5,000 – menor de 10,000 </w:t>
            </w:r>
            <w:proofErr w:type="spellStart"/>
            <w:r w:rsidRPr="004205AA">
              <w:rPr>
                <w:rFonts w:eastAsia="Calibri" w:cs="Arial"/>
                <w:sz w:val="18"/>
                <w:szCs w:val="18"/>
              </w:rPr>
              <w:t>hab</w:t>
            </w:r>
            <w:proofErr w:type="spellEnd"/>
          </w:p>
        </w:tc>
        <w:tc>
          <w:tcPr>
            <w:tcW w:w="1275"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13</w:t>
            </w:r>
          </w:p>
        </w:tc>
        <w:tc>
          <w:tcPr>
            <w:tcW w:w="1276"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96,060</w:t>
            </w:r>
          </w:p>
        </w:tc>
      </w:tr>
      <w:tr w:rsidR="00B873A1" w:rsidRPr="004205AA" w:rsidTr="00391B54">
        <w:trPr>
          <w:jc w:val="center"/>
        </w:trPr>
        <w:tc>
          <w:tcPr>
            <w:tcW w:w="1536" w:type="dxa"/>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Varios</w:t>
            </w:r>
          </w:p>
        </w:tc>
        <w:tc>
          <w:tcPr>
            <w:tcW w:w="255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Varios</w:t>
            </w:r>
          </w:p>
        </w:tc>
        <w:tc>
          <w:tcPr>
            <w:tcW w:w="326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 xml:space="preserve">De 2,500 a menor de 5,000 </w:t>
            </w:r>
            <w:proofErr w:type="spellStart"/>
            <w:r w:rsidRPr="004205AA">
              <w:rPr>
                <w:rFonts w:eastAsia="Calibri" w:cs="Arial"/>
                <w:sz w:val="18"/>
                <w:szCs w:val="18"/>
              </w:rPr>
              <w:t>hab</w:t>
            </w:r>
            <w:proofErr w:type="spellEnd"/>
          </w:p>
        </w:tc>
        <w:tc>
          <w:tcPr>
            <w:tcW w:w="1275"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23</w:t>
            </w:r>
          </w:p>
        </w:tc>
        <w:tc>
          <w:tcPr>
            <w:tcW w:w="1276"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84,555</w:t>
            </w:r>
          </w:p>
        </w:tc>
      </w:tr>
      <w:tr w:rsidR="00B873A1" w:rsidRPr="004205AA" w:rsidTr="00391B54">
        <w:trPr>
          <w:jc w:val="center"/>
        </w:trPr>
        <w:tc>
          <w:tcPr>
            <w:tcW w:w="1536" w:type="dxa"/>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Varios</w:t>
            </w:r>
          </w:p>
        </w:tc>
        <w:tc>
          <w:tcPr>
            <w:tcW w:w="255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Varios</w:t>
            </w:r>
          </w:p>
        </w:tc>
        <w:tc>
          <w:tcPr>
            <w:tcW w:w="3261" w:type="dxa"/>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 xml:space="preserve">De 1,000 a menor de 2,500 </w:t>
            </w:r>
            <w:proofErr w:type="spellStart"/>
            <w:r w:rsidRPr="004205AA">
              <w:rPr>
                <w:rFonts w:eastAsia="Calibri" w:cs="Arial"/>
                <w:sz w:val="18"/>
                <w:szCs w:val="18"/>
              </w:rPr>
              <w:t>hab</w:t>
            </w:r>
            <w:proofErr w:type="spellEnd"/>
          </w:p>
        </w:tc>
        <w:tc>
          <w:tcPr>
            <w:tcW w:w="1275"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89</w:t>
            </w:r>
          </w:p>
        </w:tc>
        <w:tc>
          <w:tcPr>
            <w:tcW w:w="1276" w:type="dxa"/>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142,159</w:t>
            </w:r>
          </w:p>
        </w:tc>
      </w:tr>
      <w:tr w:rsidR="00B873A1" w:rsidRPr="004205AA" w:rsidTr="00391B54">
        <w:trPr>
          <w:jc w:val="center"/>
        </w:trPr>
        <w:tc>
          <w:tcPr>
            <w:tcW w:w="1536" w:type="dxa"/>
            <w:tcBorders>
              <w:bottom w:val="nil"/>
            </w:tcBorders>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Varios</w:t>
            </w:r>
          </w:p>
        </w:tc>
        <w:tc>
          <w:tcPr>
            <w:tcW w:w="2551" w:type="dxa"/>
            <w:tcBorders>
              <w:bottom w:val="nil"/>
            </w:tcBorders>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Varios</w:t>
            </w:r>
          </w:p>
        </w:tc>
        <w:tc>
          <w:tcPr>
            <w:tcW w:w="3261" w:type="dxa"/>
            <w:tcBorders>
              <w:bottom w:val="nil"/>
            </w:tcBorders>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 xml:space="preserve">De 100 a menor de 1,000 </w:t>
            </w:r>
            <w:proofErr w:type="spellStart"/>
            <w:r w:rsidRPr="004205AA">
              <w:rPr>
                <w:rFonts w:eastAsia="Calibri" w:cs="Arial"/>
                <w:sz w:val="18"/>
                <w:szCs w:val="18"/>
              </w:rPr>
              <w:t>hab</w:t>
            </w:r>
            <w:proofErr w:type="spellEnd"/>
          </w:p>
        </w:tc>
        <w:tc>
          <w:tcPr>
            <w:tcW w:w="1275" w:type="dxa"/>
            <w:tcBorders>
              <w:bottom w:val="nil"/>
            </w:tcBorders>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321</w:t>
            </w:r>
          </w:p>
        </w:tc>
        <w:tc>
          <w:tcPr>
            <w:tcW w:w="1276" w:type="dxa"/>
            <w:tcBorders>
              <w:bottom w:val="nil"/>
            </w:tcBorders>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137,209</w:t>
            </w:r>
          </w:p>
        </w:tc>
      </w:tr>
      <w:tr w:rsidR="00B873A1" w:rsidRPr="004205AA" w:rsidTr="00391B54">
        <w:trPr>
          <w:jc w:val="center"/>
        </w:trPr>
        <w:tc>
          <w:tcPr>
            <w:tcW w:w="1536" w:type="dxa"/>
            <w:tcBorders>
              <w:top w:val="nil"/>
              <w:bottom w:val="single" w:sz="8" w:space="0" w:color="008000"/>
            </w:tcBorders>
            <w:shd w:val="clear" w:color="auto" w:fill="auto"/>
          </w:tcPr>
          <w:p w:rsidR="00B873A1" w:rsidRPr="004205AA" w:rsidRDefault="00B873A1" w:rsidP="00391B54">
            <w:pPr>
              <w:spacing w:before="20" w:after="20" w:line="240" w:lineRule="auto"/>
              <w:ind w:firstLine="0"/>
              <w:rPr>
                <w:rFonts w:eastAsia="Calibri" w:cs="Arial"/>
                <w:sz w:val="18"/>
                <w:szCs w:val="18"/>
              </w:rPr>
            </w:pPr>
            <w:r w:rsidRPr="004205AA">
              <w:rPr>
                <w:rFonts w:eastAsia="Calibri" w:cs="Arial"/>
                <w:sz w:val="18"/>
                <w:szCs w:val="18"/>
              </w:rPr>
              <w:t>Varios</w:t>
            </w:r>
          </w:p>
        </w:tc>
        <w:tc>
          <w:tcPr>
            <w:tcW w:w="2551" w:type="dxa"/>
            <w:tcBorders>
              <w:top w:val="nil"/>
              <w:bottom w:val="single" w:sz="8" w:space="0" w:color="008000"/>
            </w:tcBorders>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Varios</w:t>
            </w:r>
          </w:p>
        </w:tc>
        <w:tc>
          <w:tcPr>
            <w:tcW w:w="3261" w:type="dxa"/>
            <w:tcBorders>
              <w:top w:val="nil"/>
              <w:bottom w:val="single" w:sz="8" w:space="0" w:color="008000"/>
            </w:tcBorders>
            <w:shd w:val="clear" w:color="auto" w:fill="auto"/>
          </w:tcPr>
          <w:p w:rsidR="00B873A1" w:rsidRPr="004205AA" w:rsidRDefault="00B873A1" w:rsidP="00391B54">
            <w:pPr>
              <w:spacing w:before="20" w:after="20" w:line="240" w:lineRule="auto"/>
              <w:ind w:firstLine="0"/>
              <w:jc w:val="left"/>
              <w:rPr>
                <w:rFonts w:eastAsia="Calibri" w:cs="Arial"/>
                <w:sz w:val="18"/>
                <w:szCs w:val="18"/>
              </w:rPr>
            </w:pPr>
            <w:r w:rsidRPr="004205AA">
              <w:rPr>
                <w:rFonts w:eastAsia="Calibri" w:cs="Arial"/>
                <w:sz w:val="18"/>
                <w:szCs w:val="18"/>
              </w:rPr>
              <w:t xml:space="preserve">Menor a 100 </w:t>
            </w:r>
            <w:proofErr w:type="spellStart"/>
            <w:r w:rsidRPr="004205AA">
              <w:rPr>
                <w:rFonts w:eastAsia="Calibri" w:cs="Arial"/>
                <w:sz w:val="18"/>
                <w:szCs w:val="18"/>
              </w:rPr>
              <w:t>hab</w:t>
            </w:r>
            <w:proofErr w:type="spellEnd"/>
          </w:p>
        </w:tc>
        <w:tc>
          <w:tcPr>
            <w:tcW w:w="1275" w:type="dxa"/>
            <w:tcBorders>
              <w:top w:val="nil"/>
              <w:bottom w:val="single" w:sz="8" w:space="0" w:color="008000"/>
            </w:tcBorders>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529</w:t>
            </w:r>
          </w:p>
        </w:tc>
        <w:tc>
          <w:tcPr>
            <w:tcW w:w="1276" w:type="dxa"/>
            <w:tcBorders>
              <w:top w:val="nil"/>
              <w:bottom w:val="single" w:sz="8" w:space="0" w:color="008000"/>
            </w:tcBorders>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10,578</w:t>
            </w:r>
          </w:p>
        </w:tc>
      </w:tr>
      <w:tr w:rsidR="00B873A1" w:rsidRPr="004205AA" w:rsidTr="00391B54">
        <w:trPr>
          <w:jc w:val="center"/>
        </w:trPr>
        <w:tc>
          <w:tcPr>
            <w:tcW w:w="1536" w:type="dxa"/>
            <w:tcBorders>
              <w:top w:val="single" w:sz="8" w:space="0" w:color="008000"/>
            </w:tcBorders>
            <w:shd w:val="clear" w:color="auto" w:fill="auto"/>
          </w:tcPr>
          <w:p w:rsidR="00B873A1" w:rsidRPr="004205AA" w:rsidRDefault="00B873A1" w:rsidP="00391B54">
            <w:pPr>
              <w:spacing w:before="20" w:after="20" w:line="240" w:lineRule="auto"/>
              <w:ind w:firstLine="0"/>
              <w:rPr>
                <w:rFonts w:eastAsia="Calibri" w:cs="Arial"/>
                <w:sz w:val="18"/>
                <w:szCs w:val="18"/>
              </w:rPr>
            </w:pPr>
          </w:p>
        </w:tc>
        <w:tc>
          <w:tcPr>
            <w:tcW w:w="2551" w:type="dxa"/>
            <w:tcBorders>
              <w:top w:val="single" w:sz="8" w:space="0" w:color="008000"/>
            </w:tcBorders>
            <w:shd w:val="clear" w:color="auto" w:fill="auto"/>
          </w:tcPr>
          <w:p w:rsidR="00B873A1" w:rsidRPr="004205AA" w:rsidRDefault="00B873A1" w:rsidP="00391B54">
            <w:pPr>
              <w:spacing w:before="20" w:after="20" w:line="240" w:lineRule="auto"/>
              <w:ind w:firstLine="0"/>
              <w:jc w:val="right"/>
              <w:rPr>
                <w:rFonts w:eastAsia="Calibri" w:cs="Arial"/>
                <w:sz w:val="18"/>
                <w:szCs w:val="18"/>
              </w:rPr>
            </w:pPr>
          </w:p>
        </w:tc>
        <w:tc>
          <w:tcPr>
            <w:tcW w:w="3261" w:type="dxa"/>
            <w:tcBorders>
              <w:top w:val="single" w:sz="8" w:space="0" w:color="008000"/>
            </w:tcBorders>
            <w:shd w:val="clear" w:color="auto" w:fill="auto"/>
          </w:tcPr>
          <w:p w:rsidR="00B873A1" w:rsidRPr="004205AA" w:rsidRDefault="00B873A1" w:rsidP="00391B54">
            <w:pPr>
              <w:spacing w:before="20" w:after="20" w:line="240" w:lineRule="auto"/>
              <w:ind w:firstLine="0"/>
              <w:jc w:val="right"/>
              <w:rPr>
                <w:rFonts w:eastAsia="Calibri" w:cs="Arial"/>
                <w:sz w:val="18"/>
                <w:szCs w:val="18"/>
              </w:rPr>
            </w:pPr>
            <w:r w:rsidRPr="004205AA">
              <w:rPr>
                <w:rFonts w:eastAsia="Calibri" w:cs="Arial"/>
                <w:sz w:val="18"/>
                <w:szCs w:val="18"/>
              </w:rPr>
              <w:t>TOTAL</w:t>
            </w:r>
          </w:p>
        </w:tc>
        <w:tc>
          <w:tcPr>
            <w:tcW w:w="1275" w:type="dxa"/>
            <w:tcBorders>
              <w:top w:val="single" w:sz="8" w:space="0" w:color="008000"/>
            </w:tcBorders>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983</w:t>
            </w:r>
          </w:p>
        </w:tc>
        <w:tc>
          <w:tcPr>
            <w:tcW w:w="1276" w:type="dxa"/>
            <w:tcBorders>
              <w:top w:val="single" w:sz="8" w:space="0" w:color="008000"/>
            </w:tcBorders>
            <w:shd w:val="clear" w:color="auto" w:fill="auto"/>
          </w:tcPr>
          <w:p w:rsidR="00B873A1" w:rsidRPr="004205AA" w:rsidRDefault="00B873A1" w:rsidP="00391B54">
            <w:pPr>
              <w:spacing w:before="20" w:after="20" w:line="240" w:lineRule="auto"/>
              <w:ind w:firstLine="0"/>
              <w:jc w:val="center"/>
              <w:rPr>
                <w:rFonts w:eastAsia="Calibri" w:cs="Arial"/>
                <w:sz w:val="18"/>
                <w:szCs w:val="18"/>
              </w:rPr>
            </w:pPr>
            <w:r w:rsidRPr="004205AA">
              <w:rPr>
                <w:rFonts w:eastAsia="Calibri" w:cs="Arial"/>
                <w:sz w:val="18"/>
                <w:szCs w:val="18"/>
              </w:rPr>
              <w:t>662,605</w:t>
            </w:r>
          </w:p>
        </w:tc>
      </w:tr>
    </w:tbl>
    <w:p w:rsidR="00B873A1" w:rsidRDefault="00B873A1" w:rsidP="00B873A1">
      <w:pPr>
        <w:pStyle w:val="Fuente"/>
      </w:pPr>
      <w:r>
        <w:t>FUENTE: INEGI. Censo 2000, conteo 2005. CONAPO. Proyección de la población 2005-2050</w:t>
      </w:r>
    </w:p>
    <w:tbl>
      <w:tblPr>
        <w:tblW w:w="0" w:type="auto"/>
        <w:tblLook w:val="04A0"/>
      </w:tblPr>
      <w:tblGrid>
        <w:gridCol w:w="4466"/>
        <w:gridCol w:w="5438"/>
      </w:tblGrid>
      <w:tr w:rsidR="00B873A1" w:rsidTr="00391B54">
        <w:tc>
          <w:tcPr>
            <w:tcW w:w="4466" w:type="dxa"/>
          </w:tcPr>
          <w:p w:rsidR="00B873A1" w:rsidRPr="00B873A1" w:rsidRDefault="00B873A1" w:rsidP="00391B54">
            <w:pPr>
              <w:ind w:firstLine="0"/>
              <w:rPr>
                <w:rFonts w:eastAsia="Calibri"/>
                <w:sz w:val="20"/>
              </w:rPr>
            </w:pPr>
          </w:p>
          <w:p w:rsidR="00B873A1" w:rsidRPr="00B873A1" w:rsidRDefault="00B873A1" w:rsidP="00932FD0">
            <w:pPr>
              <w:ind w:firstLine="0"/>
              <w:rPr>
                <w:rFonts w:eastAsia="Calibri"/>
                <w:sz w:val="20"/>
              </w:rPr>
            </w:pPr>
            <w:r w:rsidRPr="00B873A1">
              <w:rPr>
                <w:rFonts w:eastAsia="Calibri"/>
                <w:sz w:val="20"/>
              </w:rPr>
              <w:t xml:space="preserve">En </w:t>
            </w:r>
            <w:r w:rsidR="00172857">
              <w:rPr>
                <w:rFonts w:eastAsia="Calibri"/>
                <w:sz w:val="20"/>
              </w:rPr>
              <w:t>términos de tipo de población</w:t>
            </w:r>
            <w:r w:rsidRPr="00B873A1">
              <w:rPr>
                <w:rFonts w:eastAsia="Calibri"/>
                <w:sz w:val="20"/>
              </w:rPr>
              <w:t xml:space="preserve">, habitan 289,946 habitantes (43.8%) distribuidos en 939 localidades rurales, </w:t>
            </w:r>
            <w:r w:rsidRPr="007434D9">
              <w:rPr>
                <w:rFonts w:eastAsia="Calibri"/>
                <w:sz w:val="20"/>
              </w:rPr>
              <w:t>en contraparte</w:t>
            </w:r>
            <w:r w:rsidRPr="00B873A1">
              <w:rPr>
                <w:rFonts w:eastAsia="Calibri"/>
                <w:sz w:val="20"/>
              </w:rPr>
              <w:t xml:space="preserve">, la población urbana </w:t>
            </w:r>
            <w:r w:rsidR="00172857">
              <w:rPr>
                <w:rFonts w:eastAsia="Calibri"/>
                <w:sz w:val="20"/>
              </w:rPr>
              <w:t>es de</w:t>
            </w:r>
            <w:r w:rsidRPr="00B873A1">
              <w:rPr>
                <w:rFonts w:eastAsia="Calibri"/>
                <w:sz w:val="20"/>
              </w:rPr>
              <w:t xml:space="preserve"> 373,659 habitantes (56.2%) y se distribuye en únicamente 44 localidades.</w:t>
            </w:r>
          </w:p>
        </w:tc>
        <w:tc>
          <w:tcPr>
            <w:tcW w:w="5438" w:type="dxa"/>
          </w:tcPr>
          <w:p w:rsidR="00B873A1" w:rsidRPr="00927140" w:rsidRDefault="002B2F5D" w:rsidP="00391B54">
            <w:pPr>
              <w:ind w:firstLine="0"/>
              <w:jc w:val="right"/>
              <w:rPr>
                <w:rFonts w:eastAsia="Calibri"/>
                <w:szCs w:val="22"/>
              </w:rPr>
            </w:pPr>
            <w:r>
              <w:rPr>
                <w:rFonts w:eastAsia="Calibri"/>
                <w:noProof/>
                <w:szCs w:val="22"/>
                <w:lang w:eastAsia="es-MX"/>
              </w:rPr>
              <w:drawing>
                <wp:inline distT="0" distB="0" distL="0" distR="0">
                  <wp:extent cx="3057525" cy="1533525"/>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3057525" cy="1533525"/>
                          </a:xfrm>
                          <a:prstGeom prst="rect">
                            <a:avLst/>
                          </a:prstGeom>
                          <a:noFill/>
                          <a:ln w="9525">
                            <a:noFill/>
                            <a:miter lim="800000"/>
                            <a:headEnd/>
                            <a:tailEnd/>
                          </a:ln>
                        </pic:spPr>
                      </pic:pic>
                    </a:graphicData>
                  </a:graphic>
                </wp:inline>
              </w:drawing>
            </w:r>
          </w:p>
        </w:tc>
      </w:tr>
    </w:tbl>
    <w:p w:rsidR="00B873A1" w:rsidRDefault="00B873A1" w:rsidP="002C1057">
      <w:pPr>
        <w:pStyle w:val="Tabla1cap2"/>
      </w:pPr>
      <w:r>
        <w:t>Área de estudio. Localidades urbanas y rurales</w:t>
      </w:r>
    </w:p>
    <w:tbl>
      <w:tblPr>
        <w:tblW w:w="9325" w:type="dxa"/>
        <w:jc w:val="center"/>
        <w:tblBorders>
          <w:top w:val="single" w:sz="12" w:space="0" w:color="008000"/>
          <w:bottom w:val="single" w:sz="12" w:space="0" w:color="008000"/>
        </w:tblBorders>
        <w:tblLook w:val="04A0"/>
      </w:tblPr>
      <w:tblGrid>
        <w:gridCol w:w="1668"/>
        <w:gridCol w:w="1134"/>
        <w:gridCol w:w="1134"/>
        <w:gridCol w:w="1177"/>
        <w:gridCol w:w="1404"/>
        <w:gridCol w:w="1404"/>
        <w:gridCol w:w="1404"/>
      </w:tblGrid>
      <w:tr w:rsidR="00B873A1" w:rsidRPr="008765F2" w:rsidTr="00391B54">
        <w:trPr>
          <w:jc w:val="center"/>
        </w:trPr>
        <w:tc>
          <w:tcPr>
            <w:tcW w:w="1668" w:type="dxa"/>
            <w:vMerge w:val="restart"/>
            <w:tcBorders>
              <w:bottom w:val="single" w:sz="6" w:space="0" w:color="008000"/>
            </w:tcBorders>
            <w:shd w:val="clear" w:color="auto" w:fill="auto"/>
            <w:vAlign w:val="center"/>
          </w:tcPr>
          <w:p w:rsidR="00B873A1" w:rsidRPr="008765F2" w:rsidRDefault="00B873A1" w:rsidP="00391B54">
            <w:pPr>
              <w:spacing w:before="0" w:after="0" w:line="240" w:lineRule="auto"/>
              <w:ind w:firstLine="0"/>
              <w:jc w:val="center"/>
              <w:rPr>
                <w:sz w:val="18"/>
                <w:szCs w:val="18"/>
              </w:rPr>
            </w:pPr>
            <w:r w:rsidRPr="008765F2">
              <w:rPr>
                <w:sz w:val="18"/>
                <w:szCs w:val="18"/>
              </w:rPr>
              <w:t>Acuífero</w:t>
            </w:r>
          </w:p>
        </w:tc>
        <w:tc>
          <w:tcPr>
            <w:tcW w:w="3445" w:type="dxa"/>
            <w:gridSpan w:val="3"/>
            <w:tcBorders>
              <w:top w:val="single" w:sz="12" w:space="0" w:color="008000"/>
              <w:bottom w:val="single" w:sz="12" w:space="0" w:color="008000"/>
            </w:tcBorders>
            <w:shd w:val="clear" w:color="auto" w:fill="auto"/>
            <w:vAlign w:val="center"/>
          </w:tcPr>
          <w:p w:rsidR="00B873A1" w:rsidRPr="008765F2" w:rsidRDefault="00B873A1" w:rsidP="00391B54">
            <w:pPr>
              <w:spacing w:before="0" w:after="0" w:line="240" w:lineRule="auto"/>
              <w:ind w:firstLine="0"/>
              <w:jc w:val="center"/>
              <w:rPr>
                <w:sz w:val="18"/>
                <w:szCs w:val="18"/>
              </w:rPr>
            </w:pPr>
            <w:r w:rsidRPr="008765F2">
              <w:rPr>
                <w:sz w:val="18"/>
                <w:szCs w:val="18"/>
              </w:rPr>
              <w:t>Localidades</w:t>
            </w:r>
          </w:p>
        </w:tc>
        <w:tc>
          <w:tcPr>
            <w:tcW w:w="4212" w:type="dxa"/>
            <w:gridSpan w:val="3"/>
            <w:tcBorders>
              <w:top w:val="single" w:sz="12" w:space="0" w:color="008000"/>
              <w:bottom w:val="single" w:sz="12" w:space="0" w:color="008000"/>
            </w:tcBorders>
            <w:shd w:val="clear" w:color="auto" w:fill="auto"/>
            <w:vAlign w:val="center"/>
          </w:tcPr>
          <w:p w:rsidR="00B873A1" w:rsidRPr="008765F2" w:rsidRDefault="00B873A1" w:rsidP="00391B54">
            <w:pPr>
              <w:spacing w:before="0" w:after="0" w:line="240" w:lineRule="auto"/>
              <w:ind w:firstLine="0"/>
              <w:jc w:val="center"/>
              <w:rPr>
                <w:sz w:val="18"/>
                <w:szCs w:val="18"/>
              </w:rPr>
            </w:pPr>
            <w:r w:rsidRPr="008765F2">
              <w:rPr>
                <w:sz w:val="18"/>
                <w:szCs w:val="18"/>
              </w:rPr>
              <w:t>Población</w:t>
            </w:r>
          </w:p>
        </w:tc>
      </w:tr>
      <w:tr w:rsidR="00B873A1" w:rsidRPr="008765F2" w:rsidTr="00391B54">
        <w:trPr>
          <w:jc w:val="center"/>
        </w:trPr>
        <w:tc>
          <w:tcPr>
            <w:tcW w:w="1668" w:type="dxa"/>
            <w:vMerge/>
            <w:tcBorders>
              <w:bottom w:val="single" w:sz="6" w:space="0" w:color="008000"/>
            </w:tcBorders>
            <w:shd w:val="clear" w:color="auto" w:fill="auto"/>
          </w:tcPr>
          <w:p w:rsidR="00B873A1" w:rsidRPr="008765F2" w:rsidRDefault="00B873A1" w:rsidP="00391B54">
            <w:pPr>
              <w:spacing w:before="0" w:after="0" w:line="240" w:lineRule="auto"/>
              <w:ind w:firstLine="0"/>
              <w:rPr>
                <w:sz w:val="18"/>
                <w:szCs w:val="18"/>
              </w:rPr>
            </w:pPr>
          </w:p>
        </w:tc>
        <w:tc>
          <w:tcPr>
            <w:tcW w:w="1134" w:type="dxa"/>
            <w:tcBorders>
              <w:top w:val="single" w:sz="12" w:space="0" w:color="008000"/>
              <w:bottom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Urbana</w:t>
            </w:r>
          </w:p>
        </w:tc>
        <w:tc>
          <w:tcPr>
            <w:tcW w:w="1134" w:type="dxa"/>
            <w:tcBorders>
              <w:top w:val="single" w:sz="12" w:space="0" w:color="008000"/>
              <w:bottom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Rural</w:t>
            </w:r>
          </w:p>
        </w:tc>
        <w:tc>
          <w:tcPr>
            <w:tcW w:w="1177" w:type="dxa"/>
            <w:tcBorders>
              <w:top w:val="single" w:sz="12" w:space="0" w:color="008000"/>
              <w:bottom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Total</w:t>
            </w:r>
          </w:p>
        </w:tc>
        <w:tc>
          <w:tcPr>
            <w:tcW w:w="1404" w:type="dxa"/>
            <w:tcBorders>
              <w:top w:val="single" w:sz="12" w:space="0" w:color="008000"/>
              <w:bottom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Urbana</w:t>
            </w:r>
          </w:p>
        </w:tc>
        <w:tc>
          <w:tcPr>
            <w:tcW w:w="1404" w:type="dxa"/>
            <w:tcBorders>
              <w:top w:val="single" w:sz="12" w:space="0" w:color="008000"/>
              <w:bottom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Rural</w:t>
            </w:r>
          </w:p>
        </w:tc>
        <w:tc>
          <w:tcPr>
            <w:tcW w:w="1404" w:type="dxa"/>
            <w:tcBorders>
              <w:top w:val="single" w:sz="12" w:space="0" w:color="008000"/>
              <w:bottom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Total</w:t>
            </w:r>
          </w:p>
        </w:tc>
      </w:tr>
      <w:tr w:rsidR="00B873A1" w:rsidRPr="008765F2" w:rsidTr="00391B54">
        <w:trPr>
          <w:jc w:val="center"/>
        </w:trPr>
        <w:tc>
          <w:tcPr>
            <w:tcW w:w="1668" w:type="dxa"/>
            <w:tcBorders>
              <w:top w:val="single" w:sz="6" w:space="0" w:color="008000"/>
            </w:tcBorders>
            <w:shd w:val="clear" w:color="auto" w:fill="auto"/>
          </w:tcPr>
          <w:p w:rsidR="00B873A1" w:rsidRPr="008765F2" w:rsidRDefault="00B873A1" w:rsidP="00391B54">
            <w:pPr>
              <w:spacing w:before="0" w:after="0" w:line="240" w:lineRule="auto"/>
              <w:ind w:firstLine="0"/>
              <w:rPr>
                <w:sz w:val="18"/>
                <w:szCs w:val="18"/>
              </w:rPr>
            </w:pPr>
            <w:r w:rsidRPr="008765F2">
              <w:rPr>
                <w:sz w:val="18"/>
                <w:szCs w:val="18"/>
              </w:rPr>
              <w:t>Libres - Oriental</w:t>
            </w:r>
          </w:p>
        </w:tc>
        <w:tc>
          <w:tcPr>
            <w:tcW w:w="1134" w:type="dxa"/>
            <w:tcBorders>
              <w:top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24</w:t>
            </w:r>
          </w:p>
        </w:tc>
        <w:tc>
          <w:tcPr>
            <w:tcW w:w="1134" w:type="dxa"/>
            <w:tcBorders>
              <w:top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590</w:t>
            </w:r>
          </w:p>
        </w:tc>
        <w:tc>
          <w:tcPr>
            <w:tcW w:w="1177" w:type="dxa"/>
            <w:tcBorders>
              <w:top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614</w:t>
            </w:r>
          </w:p>
        </w:tc>
        <w:tc>
          <w:tcPr>
            <w:tcW w:w="1404" w:type="dxa"/>
            <w:tcBorders>
              <w:top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162,173</w:t>
            </w:r>
          </w:p>
        </w:tc>
        <w:tc>
          <w:tcPr>
            <w:tcW w:w="1404" w:type="dxa"/>
            <w:tcBorders>
              <w:top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172,551</w:t>
            </w:r>
          </w:p>
        </w:tc>
        <w:tc>
          <w:tcPr>
            <w:tcW w:w="1404" w:type="dxa"/>
            <w:tcBorders>
              <w:top w:val="single" w:sz="6" w:space="0" w:color="008000"/>
            </w:tcBorders>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334,724</w:t>
            </w:r>
          </w:p>
        </w:tc>
      </w:tr>
      <w:tr w:rsidR="00B873A1" w:rsidRPr="008765F2" w:rsidTr="00391B54">
        <w:trPr>
          <w:jc w:val="center"/>
        </w:trPr>
        <w:tc>
          <w:tcPr>
            <w:tcW w:w="1668" w:type="dxa"/>
            <w:shd w:val="clear" w:color="auto" w:fill="auto"/>
          </w:tcPr>
          <w:p w:rsidR="00B873A1" w:rsidRPr="008765F2" w:rsidRDefault="00B873A1" w:rsidP="00391B54">
            <w:pPr>
              <w:spacing w:before="0" w:after="0" w:line="240" w:lineRule="auto"/>
              <w:ind w:firstLine="0"/>
              <w:rPr>
                <w:sz w:val="18"/>
                <w:szCs w:val="18"/>
              </w:rPr>
            </w:pPr>
            <w:r w:rsidRPr="008765F2">
              <w:rPr>
                <w:sz w:val="18"/>
                <w:szCs w:val="18"/>
              </w:rPr>
              <w:t>Huamantla</w:t>
            </w:r>
          </w:p>
        </w:tc>
        <w:tc>
          <w:tcPr>
            <w:tcW w:w="113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11</w:t>
            </w:r>
          </w:p>
        </w:tc>
        <w:tc>
          <w:tcPr>
            <w:tcW w:w="113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214</w:t>
            </w:r>
          </w:p>
        </w:tc>
        <w:tc>
          <w:tcPr>
            <w:tcW w:w="1177"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225</w:t>
            </w:r>
          </w:p>
        </w:tc>
        <w:tc>
          <w:tcPr>
            <w:tcW w:w="140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116,675</w:t>
            </w:r>
          </w:p>
        </w:tc>
        <w:tc>
          <w:tcPr>
            <w:tcW w:w="140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38,160</w:t>
            </w:r>
          </w:p>
        </w:tc>
        <w:tc>
          <w:tcPr>
            <w:tcW w:w="140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154,835</w:t>
            </w:r>
          </w:p>
        </w:tc>
      </w:tr>
      <w:tr w:rsidR="00B873A1" w:rsidRPr="008765F2" w:rsidTr="00391B54">
        <w:trPr>
          <w:jc w:val="center"/>
        </w:trPr>
        <w:tc>
          <w:tcPr>
            <w:tcW w:w="1668" w:type="dxa"/>
            <w:shd w:val="clear" w:color="auto" w:fill="auto"/>
          </w:tcPr>
          <w:p w:rsidR="00B873A1" w:rsidRPr="008765F2" w:rsidRDefault="00B873A1" w:rsidP="00391B54">
            <w:pPr>
              <w:spacing w:before="0" w:after="0" w:line="240" w:lineRule="auto"/>
              <w:ind w:firstLine="0"/>
              <w:rPr>
                <w:sz w:val="18"/>
                <w:szCs w:val="18"/>
              </w:rPr>
            </w:pPr>
            <w:r w:rsidRPr="008765F2">
              <w:rPr>
                <w:sz w:val="18"/>
                <w:szCs w:val="18"/>
              </w:rPr>
              <w:t>Perote</w:t>
            </w:r>
          </w:p>
        </w:tc>
        <w:tc>
          <w:tcPr>
            <w:tcW w:w="113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9</w:t>
            </w:r>
          </w:p>
        </w:tc>
        <w:tc>
          <w:tcPr>
            <w:tcW w:w="113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135</w:t>
            </w:r>
          </w:p>
        </w:tc>
        <w:tc>
          <w:tcPr>
            <w:tcW w:w="1177"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144</w:t>
            </w:r>
          </w:p>
        </w:tc>
        <w:tc>
          <w:tcPr>
            <w:tcW w:w="140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93811</w:t>
            </w:r>
          </w:p>
        </w:tc>
        <w:tc>
          <w:tcPr>
            <w:tcW w:w="140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79235</w:t>
            </w:r>
          </w:p>
        </w:tc>
        <w:tc>
          <w:tcPr>
            <w:tcW w:w="140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173,046</w:t>
            </w:r>
          </w:p>
        </w:tc>
      </w:tr>
      <w:tr w:rsidR="00B873A1" w:rsidRPr="008765F2" w:rsidTr="00391B54">
        <w:trPr>
          <w:jc w:val="center"/>
        </w:trPr>
        <w:tc>
          <w:tcPr>
            <w:tcW w:w="1668" w:type="dxa"/>
            <w:shd w:val="clear" w:color="auto" w:fill="auto"/>
          </w:tcPr>
          <w:p w:rsidR="00B873A1" w:rsidRPr="008765F2" w:rsidRDefault="00B873A1" w:rsidP="00391B54">
            <w:pPr>
              <w:spacing w:before="0" w:after="0" w:line="240" w:lineRule="auto"/>
              <w:ind w:firstLine="0"/>
              <w:rPr>
                <w:sz w:val="18"/>
                <w:szCs w:val="18"/>
              </w:rPr>
            </w:pPr>
            <w:r w:rsidRPr="008765F2">
              <w:rPr>
                <w:sz w:val="18"/>
                <w:szCs w:val="18"/>
              </w:rPr>
              <w:t>Total</w:t>
            </w:r>
          </w:p>
        </w:tc>
        <w:tc>
          <w:tcPr>
            <w:tcW w:w="113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44</w:t>
            </w:r>
          </w:p>
        </w:tc>
        <w:tc>
          <w:tcPr>
            <w:tcW w:w="113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939</w:t>
            </w:r>
          </w:p>
        </w:tc>
        <w:tc>
          <w:tcPr>
            <w:tcW w:w="1177"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983</w:t>
            </w:r>
          </w:p>
        </w:tc>
        <w:tc>
          <w:tcPr>
            <w:tcW w:w="140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372,659</w:t>
            </w:r>
          </w:p>
        </w:tc>
        <w:tc>
          <w:tcPr>
            <w:tcW w:w="140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289,946</w:t>
            </w:r>
          </w:p>
        </w:tc>
        <w:tc>
          <w:tcPr>
            <w:tcW w:w="1404" w:type="dxa"/>
            <w:shd w:val="clear" w:color="auto" w:fill="auto"/>
          </w:tcPr>
          <w:p w:rsidR="00B873A1" w:rsidRPr="008765F2" w:rsidRDefault="00B873A1" w:rsidP="00391B54">
            <w:pPr>
              <w:spacing w:before="0" w:after="0" w:line="240" w:lineRule="auto"/>
              <w:ind w:firstLine="0"/>
              <w:jc w:val="center"/>
              <w:rPr>
                <w:sz w:val="18"/>
                <w:szCs w:val="18"/>
              </w:rPr>
            </w:pPr>
            <w:r w:rsidRPr="008765F2">
              <w:rPr>
                <w:sz w:val="18"/>
                <w:szCs w:val="18"/>
              </w:rPr>
              <w:t>662,605</w:t>
            </w:r>
          </w:p>
        </w:tc>
      </w:tr>
    </w:tbl>
    <w:p w:rsidR="00B873A1" w:rsidRPr="00AA10EB" w:rsidRDefault="00DA5B11" w:rsidP="00B873A1">
      <w:pPr>
        <w:pStyle w:val="Fuente"/>
      </w:pPr>
      <w:r>
        <w:t>Fuente</w:t>
      </w:r>
      <w:r w:rsidR="00B873A1">
        <w:t>: INEGI. Censo 2000, conteo 2005. CONAPO. Proyección de la población 2005-2050</w:t>
      </w:r>
    </w:p>
    <w:p w:rsidR="00172857" w:rsidRPr="00B74914" w:rsidRDefault="00172857" w:rsidP="00172857">
      <w:pPr>
        <w:rPr>
          <w:sz w:val="20"/>
        </w:rPr>
      </w:pPr>
      <w:r w:rsidRPr="00B74914">
        <w:rPr>
          <w:sz w:val="20"/>
        </w:rPr>
        <w:lastRenderedPageBreak/>
        <w:t xml:space="preserve">En términos de Producto Interno Bruto (PIB) municipal, </w:t>
      </w:r>
      <w:r w:rsidR="00001D23" w:rsidRPr="00B74914">
        <w:rPr>
          <w:sz w:val="20"/>
        </w:rPr>
        <w:t>los municipios que de manera independiente presentan un mayor PIB</w:t>
      </w:r>
      <w:r w:rsidRPr="00B74914">
        <w:rPr>
          <w:sz w:val="20"/>
        </w:rPr>
        <w:t xml:space="preserve"> se localizan al poniente y noreste del acuífero HLOP, zonas en las cuales se superan los 3</w:t>
      </w:r>
      <w:r w:rsidR="00001D23" w:rsidRPr="00B74914">
        <w:rPr>
          <w:sz w:val="20"/>
        </w:rPr>
        <w:t xml:space="preserve"> mil</w:t>
      </w:r>
      <w:r w:rsidRPr="00B74914">
        <w:rPr>
          <w:sz w:val="20"/>
        </w:rPr>
        <w:t xml:space="preserve"> MDP (Huamantla y Perote), y en donde la actividad secundaria y terciaria igualan o superan a la primaria. </w:t>
      </w:r>
      <w:r w:rsidR="00001D23" w:rsidRPr="00B74914">
        <w:rPr>
          <w:sz w:val="20"/>
        </w:rPr>
        <w:t xml:space="preserve">Aún ante esta situación y al considerar que </w:t>
      </w:r>
      <w:r w:rsidRPr="00B74914">
        <w:rPr>
          <w:sz w:val="20"/>
        </w:rPr>
        <w:t xml:space="preserve">los municipios poblanos presentan las menores cifras de PIB municipal, </w:t>
      </w:r>
      <w:r w:rsidR="00001D23" w:rsidRPr="00B74914">
        <w:rPr>
          <w:sz w:val="20"/>
        </w:rPr>
        <w:t xml:space="preserve">éstos </w:t>
      </w:r>
      <w:r w:rsidRPr="00B74914">
        <w:rPr>
          <w:sz w:val="20"/>
        </w:rPr>
        <w:t>en conjunto</w:t>
      </w:r>
      <w:r w:rsidR="00001D23" w:rsidRPr="00B74914">
        <w:rPr>
          <w:sz w:val="20"/>
        </w:rPr>
        <w:t xml:space="preserve"> aportan el </w:t>
      </w:r>
      <w:r w:rsidRPr="00B74914">
        <w:rPr>
          <w:sz w:val="20"/>
        </w:rPr>
        <w:t>52%</w:t>
      </w:r>
      <w:r w:rsidR="00001D23" w:rsidRPr="00B74914">
        <w:rPr>
          <w:sz w:val="20"/>
        </w:rPr>
        <w:t xml:space="preserve"> del PIB de los tres acuíferos</w:t>
      </w:r>
      <w:r w:rsidRPr="00B74914">
        <w:rPr>
          <w:sz w:val="20"/>
        </w:rPr>
        <w:t xml:space="preserve">, </w:t>
      </w:r>
      <w:r w:rsidR="00001D23" w:rsidRPr="00B74914">
        <w:rPr>
          <w:sz w:val="20"/>
        </w:rPr>
        <w:t xml:space="preserve">los municipios ubicados en </w:t>
      </w:r>
      <w:r w:rsidRPr="00B74914">
        <w:rPr>
          <w:sz w:val="20"/>
        </w:rPr>
        <w:t xml:space="preserve">Veracruz </w:t>
      </w:r>
      <w:r w:rsidR="00001D23" w:rsidRPr="00B74914">
        <w:rPr>
          <w:sz w:val="20"/>
        </w:rPr>
        <w:t>aportan e</w:t>
      </w:r>
      <w:r w:rsidRPr="00B74914">
        <w:rPr>
          <w:sz w:val="20"/>
        </w:rPr>
        <w:t>l 27%, y</w:t>
      </w:r>
      <w:r w:rsidR="00873216" w:rsidRPr="00B74914">
        <w:rPr>
          <w:sz w:val="20"/>
        </w:rPr>
        <w:t xml:space="preserve"> </w:t>
      </w:r>
      <w:r w:rsidR="00001D23" w:rsidRPr="00B74914">
        <w:rPr>
          <w:sz w:val="20"/>
        </w:rPr>
        <w:t xml:space="preserve">los de </w:t>
      </w:r>
      <w:r w:rsidR="00873216" w:rsidRPr="00B74914">
        <w:rPr>
          <w:sz w:val="20"/>
        </w:rPr>
        <w:t xml:space="preserve">Tlaxcala </w:t>
      </w:r>
      <w:r w:rsidR="00001D23" w:rsidRPr="00B74914">
        <w:rPr>
          <w:sz w:val="20"/>
        </w:rPr>
        <w:t xml:space="preserve">el </w:t>
      </w:r>
      <w:r w:rsidR="00873216" w:rsidRPr="00B74914">
        <w:rPr>
          <w:sz w:val="20"/>
        </w:rPr>
        <w:t>21%</w:t>
      </w:r>
      <w:r w:rsidR="00001D23" w:rsidRPr="00B74914">
        <w:rPr>
          <w:sz w:val="20"/>
        </w:rPr>
        <w:t xml:space="preserve"> del PIB total de los tres acuíferos</w:t>
      </w:r>
      <w:r w:rsidR="00873216" w:rsidRPr="00B74914">
        <w:rPr>
          <w:sz w:val="20"/>
        </w:rPr>
        <w:t xml:space="preserve">. La Región </w:t>
      </w:r>
      <w:r w:rsidRPr="00B74914">
        <w:rPr>
          <w:sz w:val="20"/>
        </w:rPr>
        <w:t>Hidrológico Administrativas</w:t>
      </w:r>
      <w:r w:rsidR="00873216" w:rsidRPr="00B74914">
        <w:rPr>
          <w:sz w:val="20"/>
        </w:rPr>
        <w:t xml:space="preserve"> </w:t>
      </w:r>
      <w:r w:rsidRPr="00B74914">
        <w:rPr>
          <w:sz w:val="20"/>
        </w:rPr>
        <w:t xml:space="preserve">Balsas participa </w:t>
      </w:r>
      <w:r w:rsidR="00001D23" w:rsidRPr="00B74914">
        <w:rPr>
          <w:sz w:val="20"/>
        </w:rPr>
        <w:t>con el 73% del total y</w:t>
      </w:r>
      <w:r w:rsidRPr="00B74914">
        <w:rPr>
          <w:sz w:val="20"/>
        </w:rPr>
        <w:t xml:space="preserve"> Golfo Centro </w:t>
      </w:r>
      <w:r w:rsidR="00001D23" w:rsidRPr="00B74914">
        <w:rPr>
          <w:sz w:val="20"/>
        </w:rPr>
        <w:t>c</w:t>
      </w:r>
      <w:r w:rsidRPr="00B74914">
        <w:rPr>
          <w:sz w:val="20"/>
        </w:rPr>
        <w:t xml:space="preserve">on </w:t>
      </w:r>
      <w:r w:rsidR="00001D23" w:rsidRPr="00B74914">
        <w:rPr>
          <w:sz w:val="20"/>
        </w:rPr>
        <w:t xml:space="preserve">el </w:t>
      </w:r>
      <w:r w:rsidRPr="00B74914">
        <w:rPr>
          <w:sz w:val="20"/>
        </w:rPr>
        <w:t>27%. La cifra total de PIB municipal es de 31,679 MDP al año 2005</w:t>
      </w:r>
      <w:r w:rsidR="00873216" w:rsidRPr="00B74914">
        <w:rPr>
          <w:sz w:val="20"/>
        </w:rPr>
        <w:t xml:space="preserve">, </w:t>
      </w:r>
      <w:r w:rsidR="00001D23" w:rsidRPr="00B74914">
        <w:rPr>
          <w:sz w:val="20"/>
        </w:rPr>
        <w:t>misma qu</w:t>
      </w:r>
      <w:r w:rsidR="00873216" w:rsidRPr="00B74914">
        <w:rPr>
          <w:sz w:val="20"/>
        </w:rPr>
        <w:t>e implica el PIB total de municipios que se circunscriben parcial o totalmente en el acuífero.</w:t>
      </w:r>
    </w:p>
    <w:p w:rsidR="0008677E" w:rsidRPr="00873216" w:rsidRDefault="00873216" w:rsidP="002C1057">
      <w:pPr>
        <w:pStyle w:val="Tabla1cap2"/>
      </w:pPr>
      <w:r w:rsidRPr="00873216">
        <w:t>PIB municipal para el</w:t>
      </w:r>
      <w:r>
        <w:t xml:space="preserve"> </w:t>
      </w:r>
      <w:r w:rsidRPr="00873216">
        <w:t>acuífero HLOP. Datos consolidados por estado</w:t>
      </w:r>
    </w:p>
    <w:tbl>
      <w:tblPr>
        <w:tblW w:w="9759" w:type="dxa"/>
        <w:jc w:val="center"/>
        <w:tblBorders>
          <w:top w:val="single" w:sz="12" w:space="0" w:color="008000"/>
          <w:bottom w:val="single" w:sz="12" w:space="0" w:color="008000"/>
        </w:tblBorders>
        <w:tblLook w:val="04A0"/>
      </w:tblPr>
      <w:tblGrid>
        <w:gridCol w:w="1208"/>
        <w:gridCol w:w="1208"/>
        <w:gridCol w:w="1496"/>
        <w:gridCol w:w="1617"/>
        <w:gridCol w:w="1608"/>
        <w:gridCol w:w="1652"/>
        <w:gridCol w:w="970"/>
      </w:tblGrid>
      <w:tr w:rsidR="00172857" w:rsidRPr="00172857" w:rsidTr="00391B54">
        <w:trPr>
          <w:trHeight w:val="1014"/>
          <w:jc w:val="center"/>
        </w:trPr>
        <w:tc>
          <w:tcPr>
            <w:tcW w:w="1208" w:type="dxa"/>
            <w:tcBorders>
              <w:bottom w:val="single" w:sz="6" w:space="0" w:color="008000"/>
            </w:tcBorders>
            <w:shd w:val="clear" w:color="auto" w:fill="auto"/>
            <w:noWrap/>
            <w:vAlign w:val="center"/>
            <w:hideMark/>
          </w:tcPr>
          <w:p w:rsidR="00172857" w:rsidRPr="00172857" w:rsidRDefault="00172857" w:rsidP="00391B54">
            <w:pPr>
              <w:spacing w:before="0" w:after="0" w:line="240" w:lineRule="auto"/>
              <w:ind w:firstLine="0"/>
              <w:jc w:val="center"/>
              <w:rPr>
                <w:rFonts w:eastAsia="Times New Roman" w:cs="Arial"/>
                <w:b/>
                <w:bCs/>
                <w:sz w:val="18"/>
                <w:szCs w:val="18"/>
                <w:lang w:eastAsia="es-MX"/>
              </w:rPr>
            </w:pPr>
            <w:r w:rsidRPr="00172857">
              <w:rPr>
                <w:rFonts w:eastAsia="Times New Roman" w:cs="Arial"/>
                <w:b/>
                <w:bCs/>
                <w:sz w:val="18"/>
                <w:szCs w:val="18"/>
                <w:lang w:eastAsia="es-MX"/>
              </w:rPr>
              <w:t>Clave</w:t>
            </w:r>
          </w:p>
        </w:tc>
        <w:tc>
          <w:tcPr>
            <w:tcW w:w="1208" w:type="dxa"/>
            <w:tcBorders>
              <w:bottom w:val="single" w:sz="6" w:space="0" w:color="008000"/>
            </w:tcBorders>
            <w:shd w:val="clear" w:color="auto" w:fill="auto"/>
            <w:noWrap/>
            <w:vAlign w:val="center"/>
            <w:hideMark/>
          </w:tcPr>
          <w:p w:rsidR="00172857" w:rsidRPr="00172857" w:rsidRDefault="00172857" w:rsidP="00391B54">
            <w:pPr>
              <w:spacing w:before="0" w:after="0" w:line="240" w:lineRule="auto"/>
              <w:ind w:firstLine="0"/>
              <w:jc w:val="center"/>
              <w:rPr>
                <w:rFonts w:eastAsia="Times New Roman" w:cs="Arial"/>
                <w:b/>
                <w:bCs/>
                <w:sz w:val="18"/>
                <w:szCs w:val="18"/>
                <w:lang w:eastAsia="es-MX"/>
              </w:rPr>
            </w:pPr>
            <w:r w:rsidRPr="00172857">
              <w:rPr>
                <w:rFonts w:eastAsia="Times New Roman" w:cs="Arial"/>
                <w:b/>
                <w:bCs/>
                <w:sz w:val="18"/>
                <w:szCs w:val="18"/>
                <w:lang w:eastAsia="es-MX"/>
              </w:rPr>
              <w:t>Estado</w:t>
            </w:r>
          </w:p>
        </w:tc>
        <w:tc>
          <w:tcPr>
            <w:tcW w:w="1496" w:type="dxa"/>
            <w:tcBorders>
              <w:bottom w:val="single" w:sz="6" w:space="0" w:color="008000"/>
            </w:tcBorders>
            <w:shd w:val="clear" w:color="auto" w:fill="auto"/>
            <w:vAlign w:val="center"/>
            <w:hideMark/>
          </w:tcPr>
          <w:p w:rsidR="00172857" w:rsidRPr="00172857" w:rsidRDefault="00172857" w:rsidP="00391B54">
            <w:pPr>
              <w:spacing w:before="0" w:after="0" w:line="240" w:lineRule="auto"/>
              <w:ind w:firstLine="0"/>
              <w:jc w:val="center"/>
              <w:rPr>
                <w:rFonts w:eastAsia="Times New Roman" w:cs="Arial"/>
                <w:b/>
                <w:bCs/>
                <w:sz w:val="18"/>
                <w:szCs w:val="18"/>
                <w:lang w:eastAsia="es-MX"/>
              </w:rPr>
            </w:pPr>
            <w:r w:rsidRPr="00172857">
              <w:rPr>
                <w:rFonts w:eastAsia="Times New Roman" w:cs="Arial"/>
                <w:b/>
                <w:bCs/>
                <w:sz w:val="18"/>
                <w:szCs w:val="18"/>
                <w:lang w:eastAsia="es-MX"/>
              </w:rPr>
              <w:t>PIB 2005 en dólares (PPC de 2005)</w:t>
            </w:r>
          </w:p>
        </w:tc>
        <w:tc>
          <w:tcPr>
            <w:tcW w:w="1617" w:type="dxa"/>
            <w:tcBorders>
              <w:bottom w:val="single" w:sz="6" w:space="0" w:color="008000"/>
            </w:tcBorders>
            <w:shd w:val="clear" w:color="auto" w:fill="auto"/>
            <w:vAlign w:val="center"/>
            <w:hideMark/>
          </w:tcPr>
          <w:p w:rsidR="00172857" w:rsidRPr="00172857" w:rsidRDefault="00172857" w:rsidP="00391B54">
            <w:pPr>
              <w:spacing w:before="0" w:after="0" w:line="240" w:lineRule="auto"/>
              <w:ind w:firstLine="0"/>
              <w:jc w:val="center"/>
              <w:rPr>
                <w:rFonts w:eastAsia="Times New Roman" w:cs="Arial"/>
                <w:b/>
                <w:bCs/>
                <w:sz w:val="18"/>
                <w:szCs w:val="18"/>
                <w:lang w:eastAsia="es-MX"/>
              </w:rPr>
            </w:pPr>
            <w:r w:rsidRPr="00172857">
              <w:rPr>
                <w:rFonts w:eastAsia="Times New Roman" w:cs="Arial"/>
                <w:b/>
                <w:bCs/>
                <w:sz w:val="18"/>
                <w:szCs w:val="18"/>
                <w:lang w:eastAsia="es-MX"/>
              </w:rPr>
              <w:t>PIB per cápita 2005 en dólares (PPC de 2005)</w:t>
            </w:r>
          </w:p>
        </w:tc>
        <w:tc>
          <w:tcPr>
            <w:tcW w:w="1608" w:type="dxa"/>
            <w:tcBorders>
              <w:bottom w:val="single" w:sz="6" w:space="0" w:color="008000"/>
            </w:tcBorders>
            <w:shd w:val="clear" w:color="auto" w:fill="auto"/>
            <w:vAlign w:val="center"/>
            <w:hideMark/>
          </w:tcPr>
          <w:p w:rsidR="00172857" w:rsidRPr="00172857" w:rsidRDefault="00172857" w:rsidP="00391B54">
            <w:pPr>
              <w:spacing w:before="0" w:after="0" w:line="240" w:lineRule="auto"/>
              <w:ind w:firstLine="0"/>
              <w:jc w:val="center"/>
              <w:rPr>
                <w:rFonts w:eastAsia="Times New Roman" w:cs="Arial"/>
                <w:b/>
                <w:bCs/>
                <w:sz w:val="18"/>
                <w:szCs w:val="18"/>
                <w:lang w:eastAsia="es-MX"/>
              </w:rPr>
            </w:pPr>
            <w:r w:rsidRPr="00172857">
              <w:rPr>
                <w:rFonts w:eastAsia="Times New Roman" w:cs="Arial"/>
                <w:b/>
                <w:bCs/>
                <w:sz w:val="18"/>
                <w:szCs w:val="18"/>
                <w:lang w:eastAsia="es-MX"/>
              </w:rPr>
              <w:t>PIB 2005 en pesos a precios corrientes</w:t>
            </w:r>
          </w:p>
        </w:tc>
        <w:tc>
          <w:tcPr>
            <w:tcW w:w="1652" w:type="dxa"/>
            <w:tcBorders>
              <w:bottom w:val="single" w:sz="6" w:space="0" w:color="008000"/>
            </w:tcBorders>
            <w:shd w:val="clear" w:color="auto" w:fill="auto"/>
            <w:vAlign w:val="center"/>
            <w:hideMark/>
          </w:tcPr>
          <w:p w:rsidR="00172857" w:rsidRPr="00172857" w:rsidRDefault="00172857" w:rsidP="00391B54">
            <w:pPr>
              <w:spacing w:before="0" w:after="0" w:line="240" w:lineRule="auto"/>
              <w:ind w:firstLine="0"/>
              <w:jc w:val="center"/>
              <w:rPr>
                <w:rFonts w:eastAsia="Times New Roman" w:cs="Arial"/>
                <w:b/>
                <w:bCs/>
                <w:sz w:val="18"/>
                <w:szCs w:val="18"/>
                <w:lang w:eastAsia="es-MX"/>
              </w:rPr>
            </w:pPr>
            <w:r w:rsidRPr="00172857">
              <w:rPr>
                <w:rFonts w:eastAsia="Times New Roman" w:cs="Arial"/>
                <w:b/>
                <w:bCs/>
                <w:sz w:val="18"/>
                <w:szCs w:val="18"/>
                <w:lang w:eastAsia="es-MX"/>
              </w:rPr>
              <w:t>PIB per cápita 2005 en pesos a precios corrientes</w:t>
            </w:r>
          </w:p>
        </w:tc>
        <w:tc>
          <w:tcPr>
            <w:tcW w:w="970" w:type="dxa"/>
            <w:tcBorders>
              <w:bottom w:val="single" w:sz="6" w:space="0" w:color="008000"/>
            </w:tcBorders>
            <w:shd w:val="clear" w:color="auto" w:fill="auto"/>
            <w:vAlign w:val="center"/>
            <w:hideMark/>
          </w:tcPr>
          <w:p w:rsidR="00172857" w:rsidRPr="00172857" w:rsidRDefault="00172857" w:rsidP="00391B54">
            <w:pPr>
              <w:spacing w:before="0" w:after="0" w:line="240" w:lineRule="auto"/>
              <w:ind w:firstLine="0"/>
              <w:jc w:val="center"/>
              <w:rPr>
                <w:rFonts w:eastAsia="Times New Roman" w:cs="Arial"/>
                <w:b/>
                <w:bCs/>
                <w:sz w:val="18"/>
                <w:szCs w:val="18"/>
                <w:lang w:eastAsia="es-MX"/>
              </w:rPr>
            </w:pPr>
            <w:r w:rsidRPr="00172857">
              <w:rPr>
                <w:rFonts w:eastAsia="Times New Roman" w:cs="Arial"/>
                <w:b/>
                <w:bCs/>
                <w:sz w:val="18"/>
                <w:szCs w:val="18"/>
                <w:lang w:eastAsia="es-MX"/>
              </w:rPr>
              <w:t>% PIB</w:t>
            </w:r>
          </w:p>
        </w:tc>
      </w:tr>
      <w:tr w:rsidR="00172857" w:rsidRPr="00172857" w:rsidTr="00391B54">
        <w:trPr>
          <w:trHeight w:val="300"/>
          <w:jc w:val="center"/>
        </w:trPr>
        <w:tc>
          <w:tcPr>
            <w:tcW w:w="1208" w:type="dxa"/>
            <w:shd w:val="clear" w:color="auto" w:fill="auto"/>
            <w:noWrap/>
            <w:hideMark/>
          </w:tcPr>
          <w:p w:rsidR="00172857" w:rsidRPr="00172857" w:rsidRDefault="00172857" w:rsidP="00391B54">
            <w:pPr>
              <w:spacing w:before="0" w:after="0" w:line="240" w:lineRule="auto"/>
              <w:ind w:firstLine="0"/>
              <w:jc w:val="center"/>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21</w:t>
            </w:r>
          </w:p>
        </w:tc>
        <w:tc>
          <w:tcPr>
            <w:tcW w:w="1208" w:type="dxa"/>
            <w:shd w:val="clear" w:color="auto" w:fill="auto"/>
            <w:noWrap/>
            <w:hideMark/>
          </w:tcPr>
          <w:p w:rsidR="00172857" w:rsidRPr="00172857" w:rsidRDefault="00172857" w:rsidP="00391B54">
            <w:pPr>
              <w:spacing w:before="0" w:after="0" w:line="240" w:lineRule="auto"/>
              <w:ind w:firstLine="0"/>
              <w:jc w:val="lef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Puebla</w:t>
            </w:r>
          </w:p>
        </w:tc>
        <w:tc>
          <w:tcPr>
            <w:tcW w:w="1496" w:type="dxa"/>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2,343,520,521</w:t>
            </w:r>
          </w:p>
        </w:tc>
        <w:tc>
          <w:tcPr>
            <w:tcW w:w="1617" w:type="dxa"/>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121,352</w:t>
            </w:r>
          </w:p>
        </w:tc>
        <w:tc>
          <w:tcPr>
            <w:tcW w:w="1608" w:type="dxa"/>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16,583,405,437</w:t>
            </w:r>
          </w:p>
        </w:tc>
        <w:tc>
          <w:tcPr>
            <w:tcW w:w="1652" w:type="dxa"/>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858,717</w:t>
            </w:r>
          </w:p>
        </w:tc>
        <w:tc>
          <w:tcPr>
            <w:tcW w:w="970" w:type="dxa"/>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52.35</w:t>
            </w:r>
          </w:p>
        </w:tc>
      </w:tr>
      <w:tr w:rsidR="00172857" w:rsidRPr="00172857" w:rsidTr="00391B54">
        <w:trPr>
          <w:trHeight w:val="300"/>
          <w:jc w:val="center"/>
        </w:trPr>
        <w:tc>
          <w:tcPr>
            <w:tcW w:w="1208" w:type="dxa"/>
            <w:shd w:val="clear" w:color="auto" w:fill="auto"/>
            <w:noWrap/>
            <w:hideMark/>
          </w:tcPr>
          <w:p w:rsidR="00172857" w:rsidRPr="00172857" w:rsidRDefault="00172857" w:rsidP="00391B54">
            <w:pPr>
              <w:spacing w:before="0" w:after="0" w:line="240" w:lineRule="auto"/>
              <w:ind w:firstLine="0"/>
              <w:jc w:val="center"/>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29</w:t>
            </w:r>
          </w:p>
        </w:tc>
        <w:tc>
          <w:tcPr>
            <w:tcW w:w="1208" w:type="dxa"/>
            <w:shd w:val="clear" w:color="auto" w:fill="auto"/>
            <w:noWrap/>
            <w:hideMark/>
          </w:tcPr>
          <w:p w:rsidR="00172857" w:rsidRPr="00172857" w:rsidRDefault="00172857" w:rsidP="00391B54">
            <w:pPr>
              <w:spacing w:before="0" w:after="0" w:line="240" w:lineRule="auto"/>
              <w:ind w:firstLine="0"/>
              <w:jc w:val="lef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Tlaxcala</w:t>
            </w:r>
          </w:p>
        </w:tc>
        <w:tc>
          <w:tcPr>
            <w:tcW w:w="1496" w:type="dxa"/>
            <w:tcBorders>
              <w:bottom w:val="nil"/>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911,191,170</w:t>
            </w:r>
          </w:p>
        </w:tc>
        <w:tc>
          <w:tcPr>
            <w:tcW w:w="1617" w:type="dxa"/>
            <w:tcBorders>
              <w:bottom w:val="nil"/>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43,522</w:t>
            </w:r>
          </w:p>
        </w:tc>
        <w:tc>
          <w:tcPr>
            <w:tcW w:w="1608" w:type="dxa"/>
            <w:tcBorders>
              <w:bottom w:val="nil"/>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6,447,843,088</w:t>
            </w:r>
          </w:p>
        </w:tc>
        <w:tc>
          <w:tcPr>
            <w:tcW w:w="1652" w:type="dxa"/>
            <w:tcBorders>
              <w:bottom w:val="nil"/>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307,976</w:t>
            </w:r>
          </w:p>
        </w:tc>
        <w:tc>
          <w:tcPr>
            <w:tcW w:w="970" w:type="dxa"/>
            <w:tcBorders>
              <w:bottom w:val="nil"/>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20.35</w:t>
            </w:r>
          </w:p>
        </w:tc>
      </w:tr>
      <w:tr w:rsidR="00172857" w:rsidRPr="00172857" w:rsidTr="00391B54">
        <w:trPr>
          <w:trHeight w:val="300"/>
          <w:jc w:val="center"/>
        </w:trPr>
        <w:tc>
          <w:tcPr>
            <w:tcW w:w="1208" w:type="dxa"/>
            <w:shd w:val="clear" w:color="auto" w:fill="auto"/>
            <w:noWrap/>
            <w:hideMark/>
          </w:tcPr>
          <w:p w:rsidR="00172857" w:rsidRPr="00172857" w:rsidRDefault="00172857" w:rsidP="00391B54">
            <w:pPr>
              <w:spacing w:before="0" w:after="0" w:line="240" w:lineRule="auto"/>
              <w:ind w:firstLine="0"/>
              <w:jc w:val="center"/>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30</w:t>
            </w:r>
          </w:p>
        </w:tc>
        <w:tc>
          <w:tcPr>
            <w:tcW w:w="1208" w:type="dxa"/>
            <w:shd w:val="clear" w:color="auto" w:fill="auto"/>
            <w:noWrap/>
            <w:hideMark/>
          </w:tcPr>
          <w:p w:rsidR="00172857" w:rsidRPr="00172857" w:rsidRDefault="00172857" w:rsidP="00391B54">
            <w:pPr>
              <w:spacing w:before="0" w:after="0" w:line="240" w:lineRule="auto"/>
              <w:ind w:firstLine="0"/>
              <w:jc w:val="lef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Veracruz</w:t>
            </w:r>
          </w:p>
        </w:tc>
        <w:tc>
          <w:tcPr>
            <w:tcW w:w="1496" w:type="dxa"/>
            <w:tcBorders>
              <w:top w:val="nil"/>
              <w:bottom w:val="single" w:sz="8" w:space="0" w:color="4F6228"/>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1,222,206,035</w:t>
            </w:r>
          </w:p>
        </w:tc>
        <w:tc>
          <w:tcPr>
            <w:tcW w:w="1617" w:type="dxa"/>
            <w:tcBorders>
              <w:top w:val="nil"/>
              <w:bottom w:val="single" w:sz="8" w:space="0" w:color="4F6228"/>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33,914</w:t>
            </w:r>
          </w:p>
        </w:tc>
        <w:tc>
          <w:tcPr>
            <w:tcW w:w="1608" w:type="dxa"/>
            <w:tcBorders>
              <w:top w:val="nil"/>
              <w:bottom w:val="single" w:sz="8" w:space="0" w:color="4F6228"/>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8,648,671,102</w:t>
            </w:r>
          </w:p>
        </w:tc>
        <w:tc>
          <w:tcPr>
            <w:tcW w:w="1652" w:type="dxa"/>
            <w:tcBorders>
              <w:top w:val="nil"/>
              <w:bottom w:val="single" w:sz="8" w:space="0" w:color="4F6228"/>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239,987</w:t>
            </w:r>
          </w:p>
        </w:tc>
        <w:tc>
          <w:tcPr>
            <w:tcW w:w="970" w:type="dxa"/>
            <w:tcBorders>
              <w:top w:val="nil"/>
              <w:bottom w:val="single" w:sz="8" w:space="0" w:color="4F6228"/>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27.30</w:t>
            </w:r>
          </w:p>
        </w:tc>
      </w:tr>
      <w:tr w:rsidR="00172857" w:rsidRPr="00172857" w:rsidTr="00391B54">
        <w:trPr>
          <w:trHeight w:val="300"/>
          <w:jc w:val="center"/>
        </w:trPr>
        <w:tc>
          <w:tcPr>
            <w:tcW w:w="1208" w:type="dxa"/>
            <w:shd w:val="clear" w:color="auto" w:fill="auto"/>
            <w:noWrap/>
            <w:hideMark/>
          </w:tcPr>
          <w:p w:rsidR="00172857" w:rsidRPr="00172857" w:rsidRDefault="00172857" w:rsidP="00391B54">
            <w:pPr>
              <w:spacing w:before="0" w:after="0" w:line="240" w:lineRule="auto"/>
              <w:ind w:firstLine="0"/>
              <w:jc w:val="left"/>
              <w:rPr>
                <w:rFonts w:ascii="Calibri" w:eastAsia="Times New Roman" w:hAnsi="Calibri" w:cs="Times New Roman"/>
                <w:sz w:val="18"/>
                <w:szCs w:val="18"/>
                <w:lang w:eastAsia="es-MX"/>
              </w:rPr>
            </w:pPr>
          </w:p>
        </w:tc>
        <w:tc>
          <w:tcPr>
            <w:tcW w:w="1208" w:type="dxa"/>
            <w:shd w:val="clear" w:color="auto" w:fill="auto"/>
            <w:noWrap/>
            <w:hideMark/>
          </w:tcPr>
          <w:p w:rsidR="00172857" w:rsidRPr="00172857" w:rsidRDefault="00172857" w:rsidP="00391B54">
            <w:pPr>
              <w:spacing w:before="0" w:after="0" w:line="240" w:lineRule="auto"/>
              <w:ind w:firstLine="0"/>
              <w:jc w:val="left"/>
              <w:rPr>
                <w:rFonts w:ascii="Calibri" w:eastAsia="Times New Roman" w:hAnsi="Calibri" w:cs="Times New Roman"/>
                <w:sz w:val="18"/>
                <w:szCs w:val="18"/>
                <w:lang w:eastAsia="es-MX"/>
              </w:rPr>
            </w:pPr>
          </w:p>
        </w:tc>
        <w:tc>
          <w:tcPr>
            <w:tcW w:w="1496" w:type="dxa"/>
            <w:tcBorders>
              <w:top w:val="single" w:sz="8" w:space="0" w:color="4F6228"/>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4,476,917,726</w:t>
            </w:r>
          </w:p>
        </w:tc>
        <w:tc>
          <w:tcPr>
            <w:tcW w:w="1617" w:type="dxa"/>
            <w:tcBorders>
              <w:top w:val="single" w:sz="8" w:space="0" w:color="4F6228"/>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198,788</w:t>
            </w:r>
          </w:p>
        </w:tc>
        <w:tc>
          <w:tcPr>
            <w:tcW w:w="1608" w:type="dxa"/>
            <w:tcBorders>
              <w:top w:val="single" w:sz="8" w:space="0" w:color="4F6228"/>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31,679,919,628</w:t>
            </w:r>
          </w:p>
        </w:tc>
        <w:tc>
          <w:tcPr>
            <w:tcW w:w="1652" w:type="dxa"/>
            <w:tcBorders>
              <w:top w:val="single" w:sz="8" w:space="0" w:color="4F6228"/>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1,406,681</w:t>
            </w:r>
          </w:p>
        </w:tc>
        <w:tc>
          <w:tcPr>
            <w:tcW w:w="970" w:type="dxa"/>
            <w:tcBorders>
              <w:top w:val="single" w:sz="8" w:space="0" w:color="4F6228"/>
            </w:tcBorders>
            <w:shd w:val="clear" w:color="auto" w:fill="auto"/>
            <w:noWrap/>
            <w:hideMark/>
          </w:tcPr>
          <w:p w:rsidR="00172857" w:rsidRPr="00172857" w:rsidRDefault="00172857" w:rsidP="00391B54">
            <w:pPr>
              <w:spacing w:before="0" w:after="0" w:line="240" w:lineRule="auto"/>
              <w:ind w:firstLine="0"/>
              <w:jc w:val="right"/>
              <w:rPr>
                <w:rFonts w:ascii="Calibri" w:eastAsia="Times New Roman" w:hAnsi="Calibri" w:cs="Times New Roman"/>
                <w:sz w:val="18"/>
                <w:szCs w:val="18"/>
                <w:lang w:eastAsia="es-MX"/>
              </w:rPr>
            </w:pPr>
            <w:r w:rsidRPr="00172857">
              <w:rPr>
                <w:rFonts w:ascii="Calibri" w:eastAsia="Times New Roman" w:hAnsi="Calibri" w:cs="Times New Roman"/>
                <w:sz w:val="18"/>
                <w:szCs w:val="18"/>
                <w:lang w:eastAsia="es-MX"/>
              </w:rPr>
              <w:t>100.00</w:t>
            </w:r>
          </w:p>
        </w:tc>
      </w:tr>
    </w:tbl>
    <w:p w:rsidR="00524C5C" w:rsidRDefault="00524C5C" w:rsidP="00524C5C">
      <w:pPr>
        <w:rPr>
          <w:sz w:val="18"/>
          <w:szCs w:val="18"/>
        </w:rPr>
      </w:pPr>
      <w:r>
        <w:rPr>
          <w:sz w:val="18"/>
          <w:szCs w:val="18"/>
        </w:rPr>
        <w:t xml:space="preserve">Fuente: IGH  </w:t>
      </w:r>
      <w:r w:rsidR="00DA5B11">
        <w:rPr>
          <w:sz w:val="18"/>
          <w:szCs w:val="18"/>
        </w:rPr>
        <w:t xml:space="preserve">SC </w:t>
      </w:r>
      <w:r>
        <w:rPr>
          <w:sz w:val="18"/>
          <w:szCs w:val="18"/>
        </w:rPr>
        <w:t>a partir de Instituto Nacional para el Federalismo y el Desarrollo Municipal</w:t>
      </w:r>
    </w:p>
    <w:p w:rsidR="0008677E" w:rsidRPr="006A1F86" w:rsidRDefault="006A1F86" w:rsidP="000E71C1">
      <w:pPr>
        <w:pStyle w:val="Estilo2"/>
      </w:pPr>
      <w:bookmarkStart w:id="13" w:name="_Toc283641768"/>
      <w:r w:rsidRPr="006A1F86">
        <w:t>Climatología</w:t>
      </w:r>
      <w:bookmarkEnd w:id="13"/>
    </w:p>
    <w:p w:rsidR="00A07996" w:rsidRDefault="006A1F86" w:rsidP="006A1F86">
      <w:pPr>
        <w:rPr>
          <w:sz w:val="20"/>
        </w:rPr>
      </w:pPr>
      <w:r w:rsidRPr="00524C5C">
        <w:rPr>
          <w:sz w:val="20"/>
        </w:rPr>
        <w:t xml:space="preserve">El clima que </w:t>
      </w:r>
      <w:r w:rsidRPr="00B74914">
        <w:rPr>
          <w:sz w:val="20"/>
        </w:rPr>
        <w:t xml:space="preserve">impera </w:t>
      </w:r>
      <w:r w:rsidR="00DC4EC0" w:rsidRPr="00B74914">
        <w:rPr>
          <w:sz w:val="20"/>
        </w:rPr>
        <w:t xml:space="preserve">en la zona </w:t>
      </w:r>
      <w:r w:rsidRPr="00B74914">
        <w:rPr>
          <w:sz w:val="20"/>
        </w:rPr>
        <w:t xml:space="preserve">es templado, </w:t>
      </w:r>
      <w:proofErr w:type="spellStart"/>
      <w:r w:rsidRPr="00B74914">
        <w:rPr>
          <w:sz w:val="20"/>
        </w:rPr>
        <w:t>subhúmedo</w:t>
      </w:r>
      <w:proofErr w:type="spellEnd"/>
      <w:r w:rsidRPr="00B74914">
        <w:rPr>
          <w:sz w:val="20"/>
        </w:rPr>
        <w:t xml:space="preserve"> con lluvias en el verano, aunque en su parte central, es </w:t>
      </w:r>
      <w:proofErr w:type="spellStart"/>
      <w:r w:rsidRPr="00B74914">
        <w:rPr>
          <w:sz w:val="20"/>
        </w:rPr>
        <w:t>semiseco</w:t>
      </w:r>
      <w:proofErr w:type="spellEnd"/>
      <w:r w:rsidRPr="00B74914">
        <w:rPr>
          <w:sz w:val="20"/>
        </w:rPr>
        <w:t>; dominan las temperaturas medias anuales de 14° C</w:t>
      </w:r>
      <w:r w:rsidR="00A07996" w:rsidRPr="00B74914">
        <w:rPr>
          <w:sz w:val="20"/>
        </w:rPr>
        <w:t>. L</w:t>
      </w:r>
      <w:r w:rsidRPr="00B74914">
        <w:rPr>
          <w:sz w:val="20"/>
        </w:rPr>
        <w:t xml:space="preserve">a evaporación potencial media anual oscila entre 800 </w:t>
      </w:r>
      <w:r w:rsidR="00DC4EC0" w:rsidRPr="00B74914">
        <w:rPr>
          <w:sz w:val="20"/>
        </w:rPr>
        <w:t xml:space="preserve">mm </w:t>
      </w:r>
      <w:r w:rsidRPr="00B74914">
        <w:rPr>
          <w:sz w:val="20"/>
        </w:rPr>
        <w:t>y 1,</w:t>
      </w:r>
      <w:r w:rsidRPr="00524C5C">
        <w:rPr>
          <w:sz w:val="20"/>
        </w:rPr>
        <w:t>900 mm</w:t>
      </w:r>
      <w:r w:rsidR="00524C5C" w:rsidRPr="00524C5C">
        <w:rPr>
          <w:sz w:val="20"/>
        </w:rPr>
        <w:t xml:space="preserve"> con un valor medio de 1,460 mm y variación estacional similar a la de la temperatura;</w:t>
      </w:r>
      <w:r w:rsidRPr="00524C5C">
        <w:rPr>
          <w:sz w:val="20"/>
        </w:rPr>
        <w:t xml:space="preserve"> los valores mayores ocurren en las partes bajas y los menores, en las áreas montañosas.</w:t>
      </w:r>
      <w:r w:rsidR="00524C5C" w:rsidRPr="00524C5C">
        <w:rPr>
          <w:sz w:val="20"/>
        </w:rPr>
        <w:t xml:space="preserve"> La evaporación potencial media mensual es mayor que la precipitación media respectiva en todos los meses, excepto en las áreas montañosas y en la porción veracruzana de la cuenca</w:t>
      </w:r>
      <w:r w:rsidR="00A07996">
        <w:rPr>
          <w:sz w:val="20"/>
        </w:rPr>
        <w:t>.</w:t>
      </w:r>
    </w:p>
    <w:p w:rsidR="006A1F86" w:rsidRPr="00524C5C" w:rsidRDefault="006A1F86" w:rsidP="006A1F86">
      <w:pPr>
        <w:rPr>
          <w:sz w:val="20"/>
        </w:rPr>
      </w:pPr>
      <w:r w:rsidRPr="00524C5C">
        <w:rPr>
          <w:sz w:val="20"/>
        </w:rPr>
        <w:t xml:space="preserve">Se identifican 46 estaciones climatológicas operando en su </w:t>
      </w:r>
      <w:r w:rsidRPr="00B74914">
        <w:rPr>
          <w:sz w:val="20"/>
        </w:rPr>
        <w:t xml:space="preserve">mayoría desde 1966. En el periodo 1968-86, la altura de precipitación media anual fue de 590 mm, y varió de 400 </w:t>
      </w:r>
      <w:r w:rsidR="00DC4EC0" w:rsidRPr="00B74914">
        <w:rPr>
          <w:sz w:val="20"/>
        </w:rPr>
        <w:t xml:space="preserve">mm </w:t>
      </w:r>
      <w:r w:rsidRPr="00B74914">
        <w:rPr>
          <w:sz w:val="20"/>
        </w:rPr>
        <w:t xml:space="preserve">a 1,700 </w:t>
      </w:r>
      <w:r w:rsidR="00DC4EC0" w:rsidRPr="00B74914">
        <w:rPr>
          <w:sz w:val="20"/>
        </w:rPr>
        <w:t xml:space="preserve">mm </w:t>
      </w:r>
      <w:r w:rsidRPr="00B74914">
        <w:rPr>
          <w:sz w:val="20"/>
        </w:rPr>
        <w:t xml:space="preserve">en las porciones planas y las montañosas, respectivamente. </w:t>
      </w:r>
      <w:r w:rsidR="00A07996" w:rsidRPr="00B74914">
        <w:rPr>
          <w:sz w:val="20"/>
        </w:rPr>
        <w:t>E</w:t>
      </w:r>
      <w:r w:rsidRPr="00B74914">
        <w:rPr>
          <w:sz w:val="20"/>
        </w:rPr>
        <w:t>s notoria la disminución de la lluvia en los últimos</w:t>
      </w:r>
      <w:r w:rsidRPr="00524C5C">
        <w:rPr>
          <w:sz w:val="20"/>
        </w:rPr>
        <w:t xml:space="preserve"> 30 años, causada, </w:t>
      </w:r>
      <w:r w:rsidR="00524C5C" w:rsidRPr="00524C5C">
        <w:rPr>
          <w:sz w:val="20"/>
        </w:rPr>
        <w:t xml:space="preserve">aparentemente </w:t>
      </w:r>
      <w:r w:rsidRPr="00524C5C">
        <w:rPr>
          <w:sz w:val="20"/>
        </w:rPr>
        <w:t xml:space="preserve">por la desforestación y los cambios meteorológicos integrales de plazo prolongado. </w:t>
      </w:r>
      <w:r w:rsidR="00524C5C" w:rsidRPr="00524C5C">
        <w:rPr>
          <w:sz w:val="20"/>
        </w:rPr>
        <w:t>L</w:t>
      </w:r>
      <w:r w:rsidRPr="00524C5C">
        <w:rPr>
          <w:sz w:val="20"/>
        </w:rPr>
        <w:t>a temporada de lluvias abarca los meses de abril a octubre, siendo agosto y septiembre los más lluviosos.</w:t>
      </w:r>
    </w:p>
    <w:p w:rsidR="006A1F86" w:rsidRPr="00524C5C" w:rsidRDefault="006A1F86" w:rsidP="006A1F86">
      <w:pPr>
        <w:rPr>
          <w:sz w:val="20"/>
        </w:rPr>
      </w:pPr>
      <w:r w:rsidRPr="00524C5C">
        <w:rPr>
          <w:sz w:val="20"/>
        </w:rPr>
        <w:t xml:space="preserve">Con escurrimiento superficial momentáneo y minúsculo, las corrientes principales </w:t>
      </w:r>
      <w:r w:rsidR="001F2BD7">
        <w:rPr>
          <w:sz w:val="20"/>
        </w:rPr>
        <w:t xml:space="preserve">son </w:t>
      </w:r>
      <w:r w:rsidRPr="00524C5C">
        <w:rPr>
          <w:sz w:val="20"/>
        </w:rPr>
        <w:t xml:space="preserve">las siguientes: arroyo </w:t>
      </w:r>
      <w:proofErr w:type="spellStart"/>
      <w:r w:rsidRPr="00524C5C">
        <w:rPr>
          <w:sz w:val="20"/>
        </w:rPr>
        <w:t>Xonecuila</w:t>
      </w:r>
      <w:proofErr w:type="spellEnd"/>
      <w:r w:rsidRPr="00524C5C">
        <w:rPr>
          <w:sz w:val="20"/>
        </w:rPr>
        <w:t xml:space="preserve">, río Barranca La Malinche, y numerosos arroyos; todos ellos alimentan tanto superficial </w:t>
      </w:r>
      <w:r w:rsidRPr="00B74914">
        <w:rPr>
          <w:sz w:val="20"/>
        </w:rPr>
        <w:t>como subterrá</w:t>
      </w:r>
      <w:r w:rsidR="00DC4EC0" w:rsidRPr="00B74914">
        <w:rPr>
          <w:sz w:val="20"/>
        </w:rPr>
        <w:t>nea</w:t>
      </w:r>
      <w:r w:rsidRPr="00B74914">
        <w:rPr>
          <w:sz w:val="20"/>
        </w:rPr>
        <w:t xml:space="preserve">mente al lago de Totolcingo (El Carmen) y </w:t>
      </w:r>
      <w:proofErr w:type="spellStart"/>
      <w:r w:rsidRPr="00B74914">
        <w:rPr>
          <w:sz w:val="20"/>
        </w:rPr>
        <w:t>Tepeyehualco</w:t>
      </w:r>
      <w:proofErr w:type="spellEnd"/>
      <w:r w:rsidRPr="00B74914">
        <w:rPr>
          <w:sz w:val="20"/>
        </w:rPr>
        <w:t xml:space="preserve"> (El Salado) –de grandes extensiones, que se llenan</w:t>
      </w:r>
      <w:r w:rsidRPr="00524C5C">
        <w:rPr>
          <w:sz w:val="20"/>
        </w:rPr>
        <w:t xml:space="preserve"> de agua en la época de lluvias y se reducen o desaparecen en la de estiaje- y los </w:t>
      </w:r>
      <w:proofErr w:type="spellStart"/>
      <w:r w:rsidRPr="00524C5C">
        <w:rPr>
          <w:sz w:val="20"/>
        </w:rPr>
        <w:t>axalapascos</w:t>
      </w:r>
      <w:proofErr w:type="spellEnd"/>
      <w:r w:rsidRPr="00524C5C">
        <w:rPr>
          <w:sz w:val="20"/>
        </w:rPr>
        <w:t xml:space="preserve">, entre los que destacan: </w:t>
      </w:r>
      <w:proofErr w:type="spellStart"/>
      <w:r w:rsidRPr="00524C5C">
        <w:rPr>
          <w:sz w:val="20"/>
        </w:rPr>
        <w:t>Alchichica</w:t>
      </w:r>
      <w:proofErr w:type="spellEnd"/>
      <w:r w:rsidRPr="00524C5C">
        <w:rPr>
          <w:sz w:val="20"/>
        </w:rPr>
        <w:t xml:space="preserve">, La Preciosa, </w:t>
      </w:r>
      <w:proofErr w:type="spellStart"/>
      <w:r w:rsidRPr="00524C5C">
        <w:rPr>
          <w:sz w:val="20"/>
        </w:rPr>
        <w:t>Aljojuca</w:t>
      </w:r>
      <w:proofErr w:type="spellEnd"/>
      <w:r w:rsidRPr="00524C5C">
        <w:rPr>
          <w:sz w:val="20"/>
        </w:rPr>
        <w:t xml:space="preserve">, </w:t>
      </w:r>
      <w:proofErr w:type="spellStart"/>
      <w:r w:rsidRPr="00524C5C">
        <w:rPr>
          <w:sz w:val="20"/>
        </w:rPr>
        <w:t>Quecholac</w:t>
      </w:r>
      <w:proofErr w:type="spellEnd"/>
      <w:r w:rsidRPr="00524C5C">
        <w:rPr>
          <w:sz w:val="20"/>
        </w:rPr>
        <w:t xml:space="preserve">, </w:t>
      </w:r>
      <w:proofErr w:type="spellStart"/>
      <w:r w:rsidRPr="00524C5C">
        <w:rPr>
          <w:sz w:val="20"/>
        </w:rPr>
        <w:t>Tecuitlapa</w:t>
      </w:r>
      <w:proofErr w:type="spellEnd"/>
      <w:r w:rsidRPr="00524C5C">
        <w:rPr>
          <w:sz w:val="20"/>
        </w:rPr>
        <w:t xml:space="preserve"> y Luis </w:t>
      </w:r>
      <w:proofErr w:type="spellStart"/>
      <w:r w:rsidRPr="00524C5C">
        <w:rPr>
          <w:sz w:val="20"/>
        </w:rPr>
        <w:t>Atexcac</w:t>
      </w:r>
      <w:proofErr w:type="spellEnd"/>
      <w:r w:rsidRPr="00524C5C">
        <w:rPr>
          <w:sz w:val="20"/>
        </w:rPr>
        <w:t>.</w:t>
      </w:r>
    </w:p>
    <w:p w:rsidR="006A1F86" w:rsidRPr="00B74914" w:rsidRDefault="006A1F86" w:rsidP="006A1F86">
      <w:pPr>
        <w:rPr>
          <w:sz w:val="20"/>
        </w:rPr>
      </w:pPr>
      <w:r w:rsidRPr="00B74914">
        <w:rPr>
          <w:sz w:val="20"/>
        </w:rPr>
        <w:t>La precipitación media ponderada por acuífero varía de</w:t>
      </w:r>
      <w:r w:rsidR="00DC4EC0" w:rsidRPr="00B74914">
        <w:rPr>
          <w:sz w:val="20"/>
        </w:rPr>
        <w:t>sde un mínimo de</w:t>
      </w:r>
      <w:r w:rsidRPr="00B74914">
        <w:rPr>
          <w:sz w:val="20"/>
        </w:rPr>
        <w:t xml:space="preserve"> 624.9 mm, en el acuífero Libres-Oriental</w:t>
      </w:r>
      <w:r w:rsidR="00DC4EC0" w:rsidRPr="00B74914">
        <w:rPr>
          <w:sz w:val="20"/>
        </w:rPr>
        <w:t xml:space="preserve">, hasta </w:t>
      </w:r>
      <w:r w:rsidRPr="00B74914">
        <w:rPr>
          <w:sz w:val="20"/>
        </w:rPr>
        <w:t>778.4 mm</w:t>
      </w:r>
      <w:r w:rsidR="00DC4EC0" w:rsidRPr="00B74914">
        <w:rPr>
          <w:sz w:val="20"/>
        </w:rPr>
        <w:t xml:space="preserve"> en el acuífero Perote-Zalayeta; mientras que en el acuífero Huamantla es de 631.3 mm.</w:t>
      </w:r>
    </w:p>
    <w:p w:rsidR="006A1F86" w:rsidRPr="00571AC1" w:rsidRDefault="006A1F86" w:rsidP="002C1057">
      <w:pPr>
        <w:pStyle w:val="Tabla1cap2"/>
      </w:pPr>
      <w:bookmarkStart w:id="14" w:name="_Ref254083738"/>
      <w:bookmarkStart w:id="15" w:name="_Toc259787148"/>
      <w:r w:rsidRPr="00571AC1">
        <w:lastRenderedPageBreak/>
        <w:t>Precipitación media ponderada</w:t>
      </w:r>
      <w:bookmarkEnd w:id="14"/>
      <w:bookmarkEnd w:id="15"/>
      <w:r w:rsidR="00DC4EC0">
        <w:t xml:space="preserve"> </w:t>
      </w:r>
      <w:r w:rsidR="00DC4EC0" w:rsidRPr="00B74914">
        <w:t>en milímetros</w:t>
      </w:r>
    </w:p>
    <w:tbl>
      <w:tblPr>
        <w:tblW w:w="9996" w:type="dxa"/>
        <w:tblBorders>
          <w:top w:val="single" w:sz="12" w:space="0" w:color="008000"/>
          <w:bottom w:val="single" w:sz="12" w:space="0" w:color="008000"/>
        </w:tblBorders>
        <w:tblLook w:val="04A0"/>
      </w:tblPr>
      <w:tblGrid>
        <w:gridCol w:w="1668"/>
        <w:gridCol w:w="607"/>
        <w:gridCol w:w="607"/>
        <w:gridCol w:w="625"/>
        <w:gridCol w:w="607"/>
        <w:gridCol w:w="610"/>
        <w:gridCol w:w="718"/>
        <w:gridCol w:w="607"/>
        <w:gridCol w:w="607"/>
        <w:gridCol w:w="718"/>
        <w:gridCol w:w="607"/>
        <w:gridCol w:w="607"/>
        <w:gridCol w:w="607"/>
        <w:gridCol w:w="801"/>
      </w:tblGrid>
      <w:tr w:rsidR="006A1F86" w:rsidRPr="00422358" w:rsidTr="00391B54">
        <w:trPr>
          <w:trHeight w:val="20"/>
        </w:trPr>
        <w:tc>
          <w:tcPr>
            <w:tcW w:w="1668" w:type="dxa"/>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lef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Acuífero</w:t>
            </w:r>
          </w:p>
        </w:tc>
        <w:tc>
          <w:tcPr>
            <w:tcW w:w="607" w:type="dxa"/>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Ene</w:t>
            </w:r>
          </w:p>
        </w:tc>
        <w:tc>
          <w:tcPr>
            <w:tcW w:w="607" w:type="dxa"/>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proofErr w:type="spellStart"/>
            <w:r w:rsidRPr="00422358">
              <w:rPr>
                <w:rFonts w:ascii="Calibri" w:eastAsia="Times New Roman" w:hAnsi="Calibri" w:cs="Times New Roman"/>
                <w:color w:val="000000"/>
                <w:sz w:val="18"/>
                <w:szCs w:val="18"/>
                <w:lang w:eastAsia="es-MX"/>
              </w:rPr>
              <w:t>Feb</w:t>
            </w:r>
            <w:proofErr w:type="spellEnd"/>
          </w:p>
        </w:tc>
        <w:tc>
          <w:tcPr>
            <w:tcW w:w="625" w:type="dxa"/>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Mar</w:t>
            </w:r>
          </w:p>
        </w:tc>
        <w:tc>
          <w:tcPr>
            <w:tcW w:w="607" w:type="dxa"/>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proofErr w:type="spellStart"/>
            <w:r w:rsidRPr="00422358">
              <w:rPr>
                <w:rFonts w:ascii="Calibri" w:eastAsia="Times New Roman" w:hAnsi="Calibri" w:cs="Times New Roman"/>
                <w:color w:val="000000"/>
                <w:sz w:val="18"/>
                <w:szCs w:val="18"/>
                <w:lang w:eastAsia="es-MX"/>
              </w:rPr>
              <w:t>Abr</w:t>
            </w:r>
            <w:proofErr w:type="spellEnd"/>
          </w:p>
        </w:tc>
        <w:tc>
          <w:tcPr>
            <w:tcW w:w="610" w:type="dxa"/>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proofErr w:type="spellStart"/>
            <w:r w:rsidRPr="00422358">
              <w:rPr>
                <w:rFonts w:ascii="Calibri" w:eastAsia="Times New Roman" w:hAnsi="Calibri" w:cs="Times New Roman"/>
                <w:color w:val="000000"/>
                <w:sz w:val="18"/>
                <w:szCs w:val="18"/>
                <w:lang w:eastAsia="es-MX"/>
              </w:rPr>
              <w:t>May</w:t>
            </w:r>
            <w:proofErr w:type="spellEnd"/>
          </w:p>
        </w:tc>
        <w:tc>
          <w:tcPr>
            <w:tcW w:w="718" w:type="dxa"/>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proofErr w:type="spellStart"/>
            <w:r w:rsidRPr="00422358">
              <w:rPr>
                <w:rFonts w:ascii="Calibri" w:eastAsia="Times New Roman" w:hAnsi="Calibri" w:cs="Times New Roman"/>
                <w:color w:val="000000"/>
                <w:sz w:val="18"/>
                <w:szCs w:val="18"/>
                <w:lang w:eastAsia="es-MX"/>
              </w:rPr>
              <w:t>Jun</w:t>
            </w:r>
            <w:proofErr w:type="spellEnd"/>
          </w:p>
        </w:tc>
        <w:tc>
          <w:tcPr>
            <w:tcW w:w="607" w:type="dxa"/>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proofErr w:type="spellStart"/>
            <w:r w:rsidRPr="00422358">
              <w:rPr>
                <w:rFonts w:ascii="Calibri" w:eastAsia="Times New Roman" w:hAnsi="Calibri" w:cs="Times New Roman"/>
                <w:color w:val="000000"/>
                <w:sz w:val="18"/>
                <w:szCs w:val="18"/>
                <w:lang w:eastAsia="es-MX"/>
              </w:rPr>
              <w:t>Jul</w:t>
            </w:r>
            <w:proofErr w:type="spellEnd"/>
          </w:p>
        </w:tc>
        <w:tc>
          <w:tcPr>
            <w:tcW w:w="607" w:type="dxa"/>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proofErr w:type="spellStart"/>
            <w:r w:rsidRPr="00422358">
              <w:rPr>
                <w:rFonts w:ascii="Calibri" w:eastAsia="Times New Roman" w:hAnsi="Calibri" w:cs="Times New Roman"/>
                <w:color w:val="000000"/>
                <w:sz w:val="18"/>
                <w:szCs w:val="18"/>
                <w:lang w:eastAsia="es-MX"/>
              </w:rPr>
              <w:t>Ago</w:t>
            </w:r>
            <w:proofErr w:type="spellEnd"/>
          </w:p>
        </w:tc>
        <w:tc>
          <w:tcPr>
            <w:tcW w:w="718" w:type="dxa"/>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proofErr w:type="spellStart"/>
            <w:r w:rsidRPr="00422358">
              <w:rPr>
                <w:rFonts w:ascii="Calibri" w:eastAsia="Times New Roman" w:hAnsi="Calibri" w:cs="Times New Roman"/>
                <w:color w:val="000000"/>
                <w:sz w:val="18"/>
                <w:szCs w:val="18"/>
                <w:lang w:eastAsia="es-MX"/>
              </w:rPr>
              <w:t>Sep</w:t>
            </w:r>
            <w:proofErr w:type="spellEnd"/>
          </w:p>
        </w:tc>
        <w:tc>
          <w:tcPr>
            <w:tcW w:w="607" w:type="dxa"/>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proofErr w:type="spellStart"/>
            <w:r w:rsidRPr="00422358">
              <w:rPr>
                <w:rFonts w:ascii="Calibri" w:eastAsia="Times New Roman" w:hAnsi="Calibri" w:cs="Times New Roman"/>
                <w:color w:val="000000"/>
                <w:sz w:val="18"/>
                <w:szCs w:val="18"/>
                <w:lang w:eastAsia="es-MX"/>
              </w:rPr>
              <w:t>Oct</w:t>
            </w:r>
            <w:proofErr w:type="spellEnd"/>
          </w:p>
        </w:tc>
        <w:tc>
          <w:tcPr>
            <w:tcW w:w="0" w:type="auto"/>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proofErr w:type="spellStart"/>
            <w:r w:rsidRPr="00422358">
              <w:rPr>
                <w:rFonts w:ascii="Calibri" w:eastAsia="Times New Roman" w:hAnsi="Calibri" w:cs="Times New Roman"/>
                <w:color w:val="000000"/>
                <w:sz w:val="18"/>
                <w:szCs w:val="18"/>
                <w:lang w:eastAsia="es-MX"/>
              </w:rPr>
              <w:t>Nov</w:t>
            </w:r>
            <w:proofErr w:type="spellEnd"/>
          </w:p>
        </w:tc>
        <w:tc>
          <w:tcPr>
            <w:tcW w:w="0" w:type="auto"/>
            <w:tcBorders>
              <w:bottom w:val="single" w:sz="6" w:space="0" w:color="008000"/>
            </w:tcBorders>
            <w:shd w:val="clear" w:color="auto" w:fill="auto"/>
            <w:noWrap/>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proofErr w:type="spellStart"/>
            <w:r w:rsidRPr="00422358">
              <w:rPr>
                <w:rFonts w:ascii="Calibri" w:eastAsia="Times New Roman" w:hAnsi="Calibri" w:cs="Times New Roman"/>
                <w:color w:val="000000"/>
                <w:sz w:val="18"/>
                <w:szCs w:val="18"/>
                <w:lang w:eastAsia="es-MX"/>
              </w:rPr>
              <w:t>Dic</w:t>
            </w:r>
            <w:proofErr w:type="spellEnd"/>
          </w:p>
        </w:tc>
        <w:tc>
          <w:tcPr>
            <w:tcW w:w="801" w:type="dxa"/>
            <w:tcBorders>
              <w:bottom w:val="single" w:sz="6" w:space="0" w:color="008000"/>
            </w:tcBorders>
            <w:shd w:val="clear" w:color="auto" w:fill="auto"/>
            <w:hideMark/>
          </w:tcPr>
          <w:p w:rsidR="006A1F86" w:rsidRPr="00422358" w:rsidRDefault="006A1F86" w:rsidP="00391B54">
            <w:pPr>
              <w:spacing w:before="20" w:after="20" w:line="240" w:lineRule="auto"/>
              <w:ind w:firstLine="0"/>
              <w:jc w:val="center"/>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Anual</w:t>
            </w:r>
          </w:p>
        </w:tc>
      </w:tr>
      <w:tr w:rsidR="006A1F86" w:rsidRPr="00422358" w:rsidTr="00391B54">
        <w:trPr>
          <w:trHeight w:val="20"/>
        </w:trPr>
        <w:tc>
          <w:tcPr>
            <w:tcW w:w="1668" w:type="dxa"/>
            <w:shd w:val="clear" w:color="auto" w:fill="auto"/>
            <w:noWrap/>
            <w:hideMark/>
          </w:tcPr>
          <w:p w:rsidR="006A1F86" w:rsidRPr="00422358" w:rsidRDefault="006A1F86" w:rsidP="00391B54">
            <w:pPr>
              <w:spacing w:before="20" w:after="20" w:line="240" w:lineRule="auto"/>
              <w:ind w:firstLine="0"/>
              <w:jc w:val="lef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Libres-Oriental</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11.1</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10.9</w:t>
            </w:r>
          </w:p>
        </w:tc>
        <w:tc>
          <w:tcPr>
            <w:tcW w:w="625"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16.8</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40.9</w:t>
            </w:r>
          </w:p>
        </w:tc>
        <w:tc>
          <w:tcPr>
            <w:tcW w:w="610"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71.6</w:t>
            </w:r>
          </w:p>
        </w:tc>
        <w:tc>
          <w:tcPr>
            <w:tcW w:w="718"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112.4</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93.0</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92.8</w:t>
            </w:r>
          </w:p>
        </w:tc>
        <w:tc>
          <w:tcPr>
            <w:tcW w:w="718"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101.4</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50.1</w:t>
            </w:r>
          </w:p>
        </w:tc>
        <w:tc>
          <w:tcPr>
            <w:tcW w:w="0" w:type="auto"/>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15.0</w:t>
            </w:r>
          </w:p>
        </w:tc>
        <w:tc>
          <w:tcPr>
            <w:tcW w:w="0" w:type="auto"/>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8.8</w:t>
            </w:r>
          </w:p>
        </w:tc>
        <w:tc>
          <w:tcPr>
            <w:tcW w:w="801"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b/>
                <w:bCs/>
                <w:color w:val="000000"/>
                <w:sz w:val="18"/>
                <w:szCs w:val="18"/>
                <w:lang w:eastAsia="es-MX"/>
              </w:rPr>
            </w:pPr>
            <w:r w:rsidRPr="00422358">
              <w:rPr>
                <w:rFonts w:ascii="Calibri" w:eastAsia="Times New Roman" w:hAnsi="Calibri" w:cs="Times New Roman"/>
                <w:b/>
                <w:bCs/>
                <w:color w:val="000000"/>
                <w:sz w:val="18"/>
                <w:szCs w:val="18"/>
                <w:lang w:eastAsia="es-MX"/>
              </w:rPr>
              <w:t>624.9</w:t>
            </w:r>
          </w:p>
        </w:tc>
      </w:tr>
      <w:tr w:rsidR="006A1F86" w:rsidRPr="00422358" w:rsidTr="00391B54">
        <w:trPr>
          <w:trHeight w:val="20"/>
        </w:trPr>
        <w:tc>
          <w:tcPr>
            <w:tcW w:w="1668" w:type="dxa"/>
            <w:shd w:val="clear" w:color="auto" w:fill="auto"/>
            <w:noWrap/>
            <w:hideMark/>
          </w:tcPr>
          <w:p w:rsidR="006A1F86" w:rsidRPr="00422358" w:rsidRDefault="006A1F86" w:rsidP="00391B54">
            <w:pPr>
              <w:spacing w:before="20" w:after="20" w:line="240" w:lineRule="auto"/>
              <w:ind w:firstLine="0"/>
              <w:jc w:val="lef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Huamantla</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8.8</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9.4</w:t>
            </w:r>
          </w:p>
        </w:tc>
        <w:tc>
          <w:tcPr>
            <w:tcW w:w="625"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17.1</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45.9</w:t>
            </w:r>
          </w:p>
        </w:tc>
        <w:tc>
          <w:tcPr>
            <w:tcW w:w="610"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82.8</w:t>
            </w:r>
          </w:p>
        </w:tc>
        <w:tc>
          <w:tcPr>
            <w:tcW w:w="718"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120.4</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92.3</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96.8</w:t>
            </w:r>
          </w:p>
        </w:tc>
        <w:tc>
          <w:tcPr>
            <w:tcW w:w="718"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89.3</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48.9</w:t>
            </w:r>
          </w:p>
        </w:tc>
        <w:tc>
          <w:tcPr>
            <w:tcW w:w="0" w:type="auto"/>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13.1</w:t>
            </w:r>
          </w:p>
        </w:tc>
        <w:tc>
          <w:tcPr>
            <w:tcW w:w="0" w:type="auto"/>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6.6</w:t>
            </w:r>
          </w:p>
        </w:tc>
        <w:tc>
          <w:tcPr>
            <w:tcW w:w="801"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b/>
                <w:bCs/>
                <w:color w:val="000000"/>
                <w:sz w:val="18"/>
                <w:szCs w:val="18"/>
                <w:lang w:eastAsia="es-MX"/>
              </w:rPr>
            </w:pPr>
            <w:r w:rsidRPr="00422358">
              <w:rPr>
                <w:rFonts w:ascii="Calibri" w:eastAsia="Times New Roman" w:hAnsi="Calibri" w:cs="Times New Roman"/>
                <w:b/>
                <w:bCs/>
                <w:color w:val="000000"/>
                <w:sz w:val="18"/>
                <w:szCs w:val="18"/>
                <w:lang w:eastAsia="es-MX"/>
              </w:rPr>
              <w:t>631.3</w:t>
            </w:r>
          </w:p>
        </w:tc>
      </w:tr>
      <w:tr w:rsidR="006A1F86" w:rsidRPr="00422358" w:rsidTr="00391B54">
        <w:trPr>
          <w:trHeight w:val="20"/>
        </w:trPr>
        <w:tc>
          <w:tcPr>
            <w:tcW w:w="1668" w:type="dxa"/>
            <w:shd w:val="clear" w:color="auto" w:fill="auto"/>
            <w:noWrap/>
            <w:hideMark/>
          </w:tcPr>
          <w:p w:rsidR="006A1F86" w:rsidRPr="00422358" w:rsidRDefault="006A1F86" w:rsidP="00391B54">
            <w:pPr>
              <w:spacing w:before="20" w:after="20" w:line="240" w:lineRule="auto"/>
              <w:ind w:firstLine="0"/>
              <w:jc w:val="lef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Perote-Zalayeta</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20.8</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21.5</w:t>
            </w:r>
          </w:p>
        </w:tc>
        <w:tc>
          <w:tcPr>
            <w:tcW w:w="625"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19.7</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33.7</w:t>
            </w:r>
          </w:p>
        </w:tc>
        <w:tc>
          <w:tcPr>
            <w:tcW w:w="610"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49.4</w:t>
            </w:r>
          </w:p>
        </w:tc>
        <w:tc>
          <w:tcPr>
            <w:tcW w:w="718"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117.2</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92.6</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99.5</w:t>
            </w:r>
          </w:p>
        </w:tc>
        <w:tc>
          <w:tcPr>
            <w:tcW w:w="718"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157.3</w:t>
            </w:r>
          </w:p>
        </w:tc>
        <w:tc>
          <w:tcPr>
            <w:tcW w:w="607"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99.3</w:t>
            </w:r>
          </w:p>
        </w:tc>
        <w:tc>
          <w:tcPr>
            <w:tcW w:w="0" w:type="auto"/>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43.2</w:t>
            </w:r>
          </w:p>
        </w:tc>
        <w:tc>
          <w:tcPr>
            <w:tcW w:w="0" w:type="auto"/>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color w:val="000000"/>
                <w:sz w:val="18"/>
                <w:szCs w:val="18"/>
                <w:lang w:eastAsia="es-MX"/>
              </w:rPr>
            </w:pPr>
            <w:r w:rsidRPr="00422358">
              <w:rPr>
                <w:rFonts w:ascii="Calibri" w:eastAsia="Times New Roman" w:hAnsi="Calibri" w:cs="Times New Roman"/>
                <w:color w:val="000000"/>
                <w:sz w:val="18"/>
                <w:szCs w:val="18"/>
                <w:lang w:eastAsia="es-MX"/>
              </w:rPr>
              <w:t>24.2</w:t>
            </w:r>
          </w:p>
        </w:tc>
        <w:tc>
          <w:tcPr>
            <w:tcW w:w="801" w:type="dxa"/>
            <w:shd w:val="clear" w:color="auto" w:fill="auto"/>
            <w:noWrap/>
            <w:hideMark/>
          </w:tcPr>
          <w:p w:rsidR="006A1F86" w:rsidRPr="00422358" w:rsidRDefault="006A1F86" w:rsidP="00391B54">
            <w:pPr>
              <w:spacing w:before="20" w:after="20" w:line="240" w:lineRule="auto"/>
              <w:ind w:firstLine="0"/>
              <w:jc w:val="right"/>
              <w:rPr>
                <w:rFonts w:ascii="Calibri" w:eastAsia="Times New Roman" w:hAnsi="Calibri" w:cs="Times New Roman"/>
                <w:b/>
                <w:bCs/>
                <w:color w:val="000000"/>
                <w:sz w:val="18"/>
                <w:szCs w:val="18"/>
                <w:lang w:eastAsia="es-MX"/>
              </w:rPr>
            </w:pPr>
            <w:r w:rsidRPr="00422358">
              <w:rPr>
                <w:rFonts w:ascii="Calibri" w:eastAsia="Times New Roman" w:hAnsi="Calibri" w:cs="Times New Roman"/>
                <w:b/>
                <w:bCs/>
                <w:color w:val="000000"/>
                <w:sz w:val="18"/>
                <w:szCs w:val="18"/>
                <w:lang w:eastAsia="es-MX"/>
              </w:rPr>
              <w:t>778.4</w:t>
            </w:r>
          </w:p>
        </w:tc>
      </w:tr>
    </w:tbl>
    <w:p w:rsidR="006A1F86" w:rsidRDefault="006A1F86" w:rsidP="006A1F86">
      <w:pPr>
        <w:rPr>
          <w:sz w:val="18"/>
          <w:szCs w:val="18"/>
        </w:rPr>
      </w:pPr>
      <w:r w:rsidRPr="00F413F8">
        <w:rPr>
          <w:sz w:val="18"/>
          <w:szCs w:val="18"/>
        </w:rPr>
        <w:t xml:space="preserve">Fuente: Elaboración propia IGH </w:t>
      </w:r>
      <w:r>
        <w:rPr>
          <w:sz w:val="18"/>
          <w:szCs w:val="18"/>
        </w:rPr>
        <w:t xml:space="preserve"> </w:t>
      </w:r>
      <w:r w:rsidRPr="00F413F8">
        <w:rPr>
          <w:sz w:val="18"/>
          <w:szCs w:val="18"/>
        </w:rPr>
        <w:t>SC</w:t>
      </w:r>
    </w:p>
    <w:p w:rsidR="00924CBE" w:rsidRDefault="00924CBE" w:rsidP="000E71C1">
      <w:pPr>
        <w:pStyle w:val="Estilo2"/>
      </w:pPr>
      <w:bookmarkStart w:id="16" w:name="_Toc283641769"/>
      <w:r>
        <w:t>Aguas subterráneas</w:t>
      </w:r>
      <w:bookmarkEnd w:id="16"/>
    </w:p>
    <w:p w:rsidR="00DA5B11" w:rsidRPr="00DA5B11" w:rsidRDefault="0028348D" w:rsidP="00DA5B11">
      <w:pPr>
        <w:rPr>
          <w:sz w:val="20"/>
        </w:rPr>
      </w:pPr>
      <w:r w:rsidRPr="0028348D">
        <w:rPr>
          <w:sz w:val="20"/>
        </w:rPr>
        <w:t>La zona se encuentra den</w:t>
      </w:r>
      <w:r w:rsidR="00DC4EC0">
        <w:rPr>
          <w:sz w:val="20"/>
        </w:rPr>
        <w:t xml:space="preserve">tro de la Región Hidrológica No </w:t>
      </w:r>
      <w:r w:rsidRPr="0028348D">
        <w:rPr>
          <w:sz w:val="20"/>
        </w:rPr>
        <w:t>1</w:t>
      </w:r>
      <w:r>
        <w:rPr>
          <w:sz w:val="20"/>
        </w:rPr>
        <w:t xml:space="preserve">8 Balsas, cuenca del río </w:t>
      </w:r>
      <w:proofErr w:type="spellStart"/>
      <w:r>
        <w:rPr>
          <w:sz w:val="20"/>
        </w:rPr>
        <w:t>Atoyac</w:t>
      </w:r>
      <w:proofErr w:type="spellEnd"/>
      <w:r>
        <w:rPr>
          <w:sz w:val="20"/>
        </w:rPr>
        <w:t>.</w:t>
      </w:r>
      <w:r w:rsidRPr="0028348D">
        <w:rPr>
          <w:sz w:val="20"/>
        </w:rPr>
        <w:t xml:space="preserve"> </w:t>
      </w:r>
      <w:r w:rsidR="00924CBE" w:rsidRPr="0028348D">
        <w:rPr>
          <w:sz w:val="20"/>
        </w:rPr>
        <w:t xml:space="preserve">Geomorfológicamente, está considerada como una cuenca del tipo </w:t>
      </w:r>
      <w:proofErr w:type="spellStart"/>
      <w:r w:rsidR="00924CBE" w:rsidRPr="0028348D">
        <w:rPr>
          <w:sz w:val="20"/>
        </w:rPr>
        <w:t>endorréico</w:t>
      </w:r>
      <w:proofErr w:type="spellEnd"/>
      <w:r w:rsidR="00924CBE" w:rsidRPr="0028348D">
        <w:rPr>
          <w:sz w:val="20"/>
        </w:rPr>
        <w:t>, cuyos</w:t>
      </w:r>
      <w:r w:rsidR="00924CBE" w:rsidRPr="00DA5B11">
        <w:rPr>
          <w:sz w:val="20"/>
        </w:rPr>
        <w:t xml:space="preserve"> límites naturales lo constituyen sierras de composición volcánica como sedimentaria</w:t>
      </w:r>
      <w:r w:rsidR="00DA5B11">
        <w:rPr>
          <w:sz w:val="20"/>
        </w:rPr>
        <w:t xml:space="preserve"> (Volcán La Malinche, Pico de Orizaba, Cofre de Perote, Caldera Los Humeros y Sierra </w:t>
      </w:r>
      <w:proofErr w:type="spellStart"/>
      <w:r w:rsidR="00DA5B11">
        <w:rPr>
          <w:sz w:val="20"/>
        </w:rPr>
        <w:t>Soltepec</w:t>
      </w:r>
      <w:proofErr w:type="spellEnd"/>
      <w:r w:rsidR="00DA5B11">
        <w:rPr>
          <w:sz w:val="20"/>
        </w:rPr>
        <w:t>)</w:t>
      </w:r>
      <w:r w:rsidR="00924CBE" w:rsidRPr="00DA5B11">
        <w:rPr>
          <w:sz w:val="20"/>
        </w:rPr>
        <w:t>.</w:t>
      </w:r>
      <w:r w:rsidR="00DA5B11">
        <w:rPr>
          <w:sz w:val="20"/>
        </w:rPr>
        <w:t xml:space="preserve"> E</w:t>
      </w:r>
      <w:r w:rsidR="00DA5B11" w:rsidRPr="00DA5B11">
        <w:rPr>
          <w:sz w:val="20"/>
        </w:rPr>
        <w:t xml:space="preserve">l patrón de drenaje es de tipo radial centrífugo, </w:t>
      </w:r>
      <w:r w:rsidR="00DA5B11">
        <w:rPr>
          <w:sz w:val="20"/>
        </w:rPr>
        <w:t xml:space="preserve">en zonas altas, y </w:t>
      </w:r>
      <w:proofErr w:type="spellStart"/>
      <w:r w:rsidR="00DA5B11">
        <w:rPr>
          <w:sz w:val="20"/>
        </w:rPr>
        <w:t>subdendritico</w:t>
      </w:r>
      <w:proofErr w:type="spellEnd"/>
      <w:r w:rsidR="00DA5B11">
        <w:rPr>
          <w:sz w:val="20"/>
        </w:rPr>
        <w:t xml:space="preserve"> y rectangular </w:t>
      </w:r>
      <w:r w:rsidR="00C55D23">
        <w:rPr>
          <w:sz w:val="20"/>
        </w:rPr>
        <w:t xml:space="preserve">en regiones </w:t>
      </w:r>
      <w:r w:rsidR="007A5749">
        <w:rPr>
          <w:sz w:val="20"/>
        </w:rPr>
        <w:t>bajas</w:t>
      </w:r>
      <w:r w:rsidR="00C55D23">
        <w:rPr>
          <w:sz w:val="20"/>
        </w:rPr>
        <w:t xml:space="preserve">. </w:t>
      </w:r>
      <w:r w:rsidR="00DA5B11" w:rsidRPr="00DA5B11">
        <w:rPr>
          <w:sz w:val="20"/>
        </w:rPr>
        <w:t xml:space="preserve">Hacia el centro de la cuenca, se ostenta una extensa planicie de origen lacustre, donde sobresalen algunos cerros y sierras aisladas de procedencia volcánica y sedimentaria, así como vestigios de antiguas y extensas zonas lacustres. </w:t>
      </w:r>
    </w:p>
    <w:p w:rsidR="002C56B3" w:rsidRPr="002C56B3" w:rsidRDefault="002C56B3" w:rsidP="002C56B3">
      <w:pPr>
        <w:rPr>
          <w:sz w:val="20"/>
        </w:rPr>
      </w:pPr>
      <w:r>
        <w:rPr>
          <w:sz w:val="20"/>
        </w:rPr>
        <w:t>El acuífero HLOP</w:t>
      </w:r>
      <w:r w:rsidRPr="002C56B3">
        <w:rPr>
          <w:sz w:val="20"/>
        </w:rPr>
        <w:t xml:space="preserve"> se clasifica en seis unidades hidrogeológicas, atendiendo a su litología y</w:t>
      </w:r>
      <w:r w:rsidR="003E76F1">
        <w:rPr>
          <w:sz w:val="20"/>
        </w:rPr>
        <w:t xml:space="preserve"> características hidrodinámicas: </w:t>
      </w:r>
      <w:proofErr w:type="spellStart"/>
      <w:r w:rsidR="003E76F1">
        <w:rPr>
          <w:sz w:val="20"/>
        </w:rPr>
        <w:t>Acuitardo</w:t>
      </w:r>
      <w:proofErr w:type="spellEnd"/>
      <w:r w:rsidR="003E76F1">
        <w:rPr>
          <w:sz w:val="20"/>
        </w:rPr>
        <w:t xml:space="preserve"> superior en sedimento lacustres; Acuífero libre a </w:t>
      </w:r>
      <w:proofErr w:type="spellStart"/>
      <w:r w:rsidR="003E76F1">
        <w:rPr>
          <w:sz w:val="20"/>
        </w:rPr>
        <w:t>semiconfinado</w:t>
      </w:r>
      <w:proofErr w:type="spellEnd"/>
      <w:r w:rsidR="003E76F1">
        <w:rPr>
          <w:sz w:val="20"/>
        </w:rPr>
        <w:t xml:space="preserve"> y/o zonas de recarga en tobas, </w:t>
      </w:r>
      <w:proofErr w:type="spellStart"/>
      <w:r w:rsidR="003E76F1">
        <w:rPr>
          <w:sz w:val="20"/>
        </w:rPr>
        <w:t>lahares</w:t>
      </w:r>
      <w:proofErr w:type="spellEnd"/>
      <w:r w:rsidR="003E76F1">
        <w:rPr>
          <w:sz w:val="20"/>
        </w:rPr>
        <w:t xml:space="preserve"> y </w:t>
      </w:r>
      <w:proofErr w:type="spellStart"/>
      <w:r w:rsidR="003E76F1">
        <w:rPr>
          <w:sz w:val="20"/>
        </w:rPr>
        <w:t>piroclastos</w:t>
      </w:r>
      <w:proofErr w:type="spellEnd"/>
      <w:r w:rsidR="003E76F1">
        <w:rPr>
          <w:sz w:val="20"/>
        </w:rPr>
        <w:t xml:space="preserve">; Unidad acuífero no confinada y/o zona de recarga en vulcanitas; </w:t>
      </w:r>
      <w:proofErr w:type="spellStart"/>
      <w:r w:rsidR="003E76F1">
        <w:rPr>
          <w:sz w:val="20"/>
        </w:rPr>
        <w:t>Acuífugo</w:t>
      </w:r>
      <w:proofErr w:type="spellEnd"/>
      <w:r w:rsidR="003E76F1">
        <w:rPr>
          <w:sz w:val="20"/>
        </w:rPr>
        <w:t xml:space="preserve"> en rocas ígneas intrusivas; </w:t>
      </w:r>
      <w:proofErr w:type="spellStart"/>
      <w:r w:rsidR="003E76F1">
        <w:rPr>
          <w:sz w:val="20"/>
        </w:rPr>
        <w:t>acuitardo</w:t>
      </w:r>
      <w:proofErr w:type="spellEnd"/>
      <w:r w:rsidR="003E76F1">
        <w:rPr>
          <w:sz w:val="20"/>
        </w:rPr>
        <w:t xml:space="preserve"> inferior en calizas y margas con intercalaciones de lutitas; y, Unidad acuífera profunda y/o zona de recarga de calizas. </w:t>
      </w:r>
    </w:p>
    <w:tbl>
      <w:tblPr>
        <w:tblW w:w="0" w:type="auto"/>
        <w:tblLook w:val="04A0"/>
      </w:tblPr>
      <w:tblGrid>
        <w:gridCol w:w="4786"/>
        <w:gridCol w:w="5042"/>
      </w:tblGrid>
      <w:tr w:rsidR="005D479D" w:rsidRPr="00767F8D" w:rsidTr="007A5749">
        <w:tc>
          <w:tcPr>
            <w:tcW w:w="4786" w:type="dxa"/>
          </w:tcPr>
          <w:p w:rsidR="005D479D" w:rsidRPr="007A5749" w:rsidRDefault="004850D5" w:rsidP="00DC4EC0">
            <w:pPr>
              <w:rPr>
                <w:rFonts w:eastAsia="Calibri"/>
                <w:sz w:val="20"/>
              </w:rPr>
            </w:pPr>
            <w:r>
              <w:rPr>
                <w:rFonts w:eastAsia="Calibri"/>
                <w:sz w:val="20"/>
              </w:rPr>
              <w:t>Aun</w:t>
            </w:r>
            <w:r w:rsidR="005D479D" w:rsidRPr="00767F8D">
              <w:rPr>
                <w:rFonts w:eastAsia="Calibri"/>
                <w:sz w:val="20"/>
              </w:rPr>
              <w:t xml:space="preserve"> cuando las lagunas de Totolcingo y </w:t>
            </w:r>
            <w:proofErr w:type="spellStart"/>
            <w:r w:rsidR="005D479D" w:rsidRPr="00767F8D">
              <w:rPr>
                <w:rFonts w:eastAsia="Calibri"/>
                <w:sz w:val="20"/>
              </w:rPr>
              <w:t>Tepeyahualco</w:t>
            </w:r>
            <w:proofErr w:type="spellEnd"/>
            <w:r w:rsidR="005D479D" w:rsidRPr="00767F8D">
              <w:rPr>
                <w:rFonts w:eastAsia="Calibri"/>
                <w:sz w:val="20"/>
              </w:rPr>
              <w:t xml:space="preserve">, contribuyen con un sistema local de recarga en sus inmediaciones, en realidad se encuentran regionalmente ubicadas en zonas de descarga, hacia donde el flujo de aguas subterráneas se dirige, de manera que como cuenca cerrada, la recarga proviene de las serranías, y sale del sistema a través de la evaporación lagunar. Este sistema en sí constituye una condición hidrológica que une los sistemas superficiales y subterráneos de la región, por lo que cualquier aprovechamiento superficial o subterráneo modifica el funcionamiento de las lagunas. </w:t>
            </w:r>
          </w:p>
        </w:tc>
        <w:tc>
          <w:tcPr>
            <w:tcW w:w="5042" w:type="dxa"/>
          </w:tcPr>
          <w:p w:rsidR="005D479D" w:rsidRPr="00767F8D" w:rsidRDefault="002B2F5D" w:rsidP="00767F8D">
            <w:pPr>
              <w:ind w:firstLine="0"/>
              <w:jc w:val="center"/>
              <w:rPr>
                <w:rFonts w:eastAsia="Calibri"/>
                <w:sz w:val="20"/>
                <w:szCs w:val="22"/>
              </w:rPr>
            </w:pPr>
            <w:r>
              <w:rPr>
                <w:rFonts w:eastAsia="Calibri"/>
                <w:noProof/>
                <w:szCs w:val="22"/>
                <w:lang w:eastAsia="es-MX"/>
              </w:rPr>
              <w:drawing>
                <wp:inline distT="0" distB="0" distL="0" distR="0">
                  <wp:extent cx="2638425" cy="2352675"/>
                  <wp:effectExtent l="19050" t="0" r="9525" b="0"/>
                  <wp:docPr id="3" name="Imagen 1" descr="C:\Users\Juan Pablo\2 PLAN DE MANEJO\Modelo matemático\Figuras\FigCondIniYDireccion.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Juan Pablo\2 PLAN DE MANEJO\Modelo matemático\Figuras\FigCondIniYDireccion.emf"/>
                          <pic:cNvPicPr>
                            <a:picLocks noChangeAspect="1" noChangeArrowheads="1"/>
                          </pic:cNvPicPr>
                        </pic:nvPicPr>
                        <pic:blipFill>
                          <a:blip r:embed="rId19" cstate="print"/>
                          <a:srcRect/>
                          <a:stretch>
                            <a:fillRect/>
                          </a:stretch>
                        </pic:blipFill>
                        <pic:spPr bwMode="auto">
                          <a:xfrm>
                            <a:off x="0" y="0"/>
                            <a:ext cx="2638425" cy="2352675"/>
                          </a:xfrm>
                          <a:prstGeom prst="rect">
                            <a:avLst/>
                          </a:prstGeom>
                          <a:noFill/>
                          <a:ln w="9525">
                            <a:noFill/>
                            <a:miter lim="800000"/>
                            <a:headEnd/>
                            <a:tailEnd/>
                          </a:ln>
                        </pic:spPr>
                      </pic:pic>
                    </a:graphicData>
                  </a:graphic>
                </wp:inline>
              </w:drawing>
            </w:r>
          </w:p>
        </w:tc>
      </w:tr>
    </w:tbl>
    <w:p w:rsidR="005D479D" w:rsidRPr="00B74914" w:rsidRDefault="005D479D" w:rsidP="005D479D">
      <w:pPr>
        <w:rPr>
          <w:sz w:val="20"/>
        </w:rPr>
      </w:pPr>
      <w:r w:rsidRPr="005D479D">
        <w:rPr>
          <w:sz w:val="20"/>
        </w:rPr>
        <w:t xml:space="preserve">Las áreas </w:t>
      </w:r>
      <w:r w:rsidRPr="00B74914">
        <w:rPr>
          <w:sz w:val="20"/>
        </w:rPr>
        <w:t xml:space="preserve">receptoras </w:t>
      </w:r>
      <w:r w:rsidR="00DC4EC0" w:rsidRPr="00B74914">
        <w:rPr>
          <w:sz w:val="20"/>
        </w:rPr>
        <w:t xml:space="preserve">que generan una mayor recarga, </w:t>
      </w:r>
      <w:r w:rsidRPr="00B74914">
        <w:rPr>
          <w:sz w:val="20"/>
        </w:rPr>
        <w:t xml:space="preserve">son: volcán de La Malinche y sierras del </w:t>
      </w:r>
      <w:proofErr w:type="spellStart"/>
      <w:r w:rsidRPr="00B74914">
        <w:rPr>
          <w:sz w:val="20"/>
        </w:rPr>
        <w:t>Citlaltepetl</w:t>
      </w:r>
      <w:proofErr w:type="spellEnd"/>
      <w:r w:rsidRPr="00B74914">
        <w:rPr>
          <w:sz w:val="20"/>
        </w:rPr>
        <w:t xml:space="preserve"> y Perote, donde la precipitación pluvial es</w:t>
      </w:r>
      <w:r w:rsidRPr="005D479D">
        <w:rPr>
          <w:sz w:val="20"/>
        </w:rPr>
        <w:t xml:space="preserve"> mayor y hay extensos afloramientos de rocas fracturadas, y en los flancos montañosos donde predominan los materiales aluviales y </w:t>
      </w:r>
      <w:proofErr w:type="spellStart"/>
      <w:r w:rsidRPr="005D479D">
        <w:rPr>
          <w:sz w:val="20"/>
        </w:rPr>
        <w:t>coluviales</w:t>
      </w:r>
      <w:proofErr w:type="spellEnd"/>
      <w:r w:rsidRPr="005D479D">
        <w:rPr>
          <w:sz w:val="20"/>
        </w:rPr>
        <w:t xml:space="preserve"> de grano grueso. Otra fuente de recarga natural es el deshielo</w:t>
      </w:r>
      <w:r w:rsidR="00DC4EC0" w:rsidRPr="00DC4EC0">
        <w:rPr>
          <w:sz w:val="20"/>
        </w:rPr>
        <w:t xml:space="preserve"> </w:t>
      </w:r>
      <w:r w:rsidR="00DC4EC0" w:rsidRPr="00B74914">
        <w:rPr>
          <w:sz w:val="20"/>
        </w:rPr>
        <w:t xml:space="preserve">del </w:t>
      </w:r>
      <w:proofErr w:type="spellStart"/>
      <w:r w:rsidR="00DC4EC0" w:rsidRPr="00B74914">
        <w:rPr>
          <w:sz w:val="20"/>
        </w:rPr>
        <w:t>Citlaltepetl</w:t>
      </w:r>
      <w:proofErr w:type="spellEnd"/>
      <w:r w:rsidRPr="00B74914">
        <w:rPr>
          <w:sz w:val="20"/>
        </w:rPr>
        <w:t xml:space="preserve">, que origina infiltración </w:t>
      </w:r>
      <w:r w:rsidR="007A5749" w:rsidRPr="00B74914">
        <w:rPr>
          <w:sz w:val="20"/>
        </w:rPr>
        <w:t>temporal o pere</w:t>
      </w:r>
      <w:r w:rsidRPr="00B74914">
        <w:rPr>
          <w:sz w:val="20"/>
        </w:rPr>
        <w:t xml:space="preserve">nne. </w:t>
      </w:r>
    </w:p>
    <w:p w:rsidR="00EA611E" w:rsidRPr="00B74914" w:rsidRDefault="00EA611E" w:rsidP="00EA611E">
      <w:pPr>
        <w:rPr>
          <w:sz w:val="20"/>
        </w:rPr>
      </w:pPr>
      <w:r w:rsidRPr="0044292C">
        <w:rPr>
          <w:sz w:val="20"/>
        </w:rPr>
        <w:t>Originalmente</w:t>
      </w:r>
      <w:r w:rsidR="007A5749">
        <w:rPr>
          <w:sz w:val="20"/>
        </w:rPr>
        <w:t>,</w:t>
      </w:r>
      <w:r w:rsidRPr="0044292C">
        <w:rPr>
          <w:sz w:val="20"/>
        </w:rPr>
        <w:t xml:space="preserve"> antes de que se diera una explotación intensiva del acuífero</w:t>
      </w:r>
      <w:r w:rsidR="007A5749">
        <w:rPr>
          <w:sz w:val="20"/>
        </w:rPr>
        <w:t>,</w:t>
      </w:r>
      <w:r w:rsidRPr="0044292C">
        <w:rPr>
          <w:sz w:val="20"/>
        </w:rPr>
        <w:t xml:space="preserve"> el flujo subterráneo descargaba en las lagunas, ya que por una parte</w:t>
      </w:r>
      <w:r w:rsidR="007A5749">
        <w:rPr>
          <w:sz w:val="20"/>
        </w:rPr>
        <w:t>,</w:t>
      </w:r>
      <w:r w:rsidRPr="0044292C">
        <w:rPr>
          <w:sz w:val="20"/>
        </w:rPr>
        <w:t xml:space="preserve"> las salidas por flujo subterráneo hacia el acuífero Valle de </w:t>
      </w:r>
      <w:r w:rsidRPr="0044292C">
        <w:rPr>
          <w:sz w:val="20"/>
        </w:rPr>
        <w:lastRenderedPageBreak/>
        <w:t>Tecamachalco y el de Martínez de la Torre-</w:t>
      </w:r>
      <w:proofErr w:type="spellStart"/>
      <w:r w:rsidRPr="0044292C">
        <w:rPr>
          <w:sz w:val="20"/>
        </w:rPr>
        <w:t>Nautla</w:t>
      </w:r>
      <w:proofErr w:type="spellEnd"/>
      <w:r w:rsidRPr="0044292C">
        <w:rPr>
          <w:sz w:val="20"/>
        </w:rPr>
        <w:t xml:space="preserve"> se encontraban saturadas</w:t>
      </w:r>
      <w:r w:rsidR="007A5749">
        <w:rPr>
          <w:sz w:val="20"/>
        </w:rPr>
        <w:t>,</w:t>
      </w:r>
      <w:r w:rsidRPr="0044292C">
        <w:rPr>
          <w:sz w:val="20"/>
        </w:rPr>
        <w:t xml:space="preserve"> y por otra</w:t>
      </w:r>
      <w:r w:rsidR="007A5749">
        <w:rPr>
          <w:sz w:val="20"/>
        </w:rPr>
        <w:t>,</w:t>
      </w:r>
      <w:r w:rsidRPr="0044292C">
        <w:rPr>
          <w:sz w:val="20"/>
        </w:rPr>
        <w:t xml:space="preserve"> no había descarga del acuífero por bombeo</w:t>
      </w:r>
      <w:r w:rsidRPr="00B74914">
        <w:rPr>
          <w:sz w:val="20"/>
        </w:rPr>
        <w:t xml:space="preserve">. </w:t>
      </w:r>
      <w:r w:rsidR="00417266" w:rsidRPr="00B74914">
        <w:rPr>
          <w:sz w:val="20"/>
        </w:rPr>
        <w:t>Con e</w:t>
      </w:r>
      <w:r w:rsidRPr="00B74914">
        <w:rPr>
          <w:sz w:val="20"/>
        </w:rPr>
        <w:t>l paso de los años</w:t>
      </w:r>
      <w:r w:rsidR="007A5749" w:rsidRPr="00B74914">
        <w:rPr>
          <w:sz w:val="20"/>
        </w:rPr>
        <w:t>,</w:t>
      </w:r>
      <w:r w:rsidRPr="00B74914">
        <w:rPr>
          <w:sz w:val="20"/>
        </w:rPr>
        <w:t xml:space="preserve"> la profundidad al nivel estático en las zonas de las lagunas </w:t>
      </w:r>
      <w:r w:rsidR="00417266" w:rsidRPr="00B74914">
        <w:rPr>
          <w:sz w:val="20"/>
        </w:rPr>
        <w:t>descendió</w:t>
      </w:r>
      <w:r w:rsidRPr="00B74914">
        <w:rPr>
          <w:sz w:val="20"/>
        </w:rPr>
        <w:t xml:space="preserve"> </w:t>
      </w:r>
      <w:r w:rsidR="00417266" w:rsidRPr="00B74914">
        <w:rPr>
          <w:sz w:val="20"/>
        </w:rPr>
        <w:t>hast</w:t>
      </w:r>
      <w:r w:rsidRPr="00B74914">
        <w:rPr>
          <w:sz w:val="20"/>
        </w:rPr>
        <w:t xml:space="preserve">a más de 5 m de </w:t>
      </w:r>
      <w:r w:rsidR="00417266" w:rsidRPr="00B74914">
        <w:rPr>
          <w:sz w:val="20"/>
        </w:rPr>
        <w:t>su lecho con recuperaciones estacionales de magnitud desconocida durante los períodos de lluvia, que aún permiten la formación de las lagunas por períodos cada vez más breves</w:t>
      </w:r>
      <w:r w:rsidR="007A5749" w:rsidRPr="00B74914">
        <w:rPr>
          <w:sz w:val="20"/>
        </w:rPr>
        <w:t>,</w:t>
      </w:r>
      <w:r w:rsidRPr="00B74914">
        <w:rPr>
          <w:sz w:val="20"/>
        </w:rPr>
        <w:t xml:space="preserve"> </w:t>
      </w:r>
      <w:r w:rsidR="00417266" w:rsidRPr="00B74914">
        <w:rPr>
          <w:sz w:val="20"/>
        </w:rPr>
        <w:t>es por ello que l</w:t>
      </w:r>
      <w:r w:rsidRPr="00B74914">
        <w:rPr>
          <w:sz w:val="20"/>
        </w:rPr>
        <w:t>as lagunas han visto reducida su extensión y su profundidad</w:t>
      </w:r>
      <w:r w:rsidR="007A5749" w:rsidRPr="00B74914">
        <w:rPr>
          <w:sz w:val="20"/>
        </w:rPr>
        <w:t>,</w:t>
      </w:r>
      <w:r w:rsidRPr="00B74914">
        <w:rPr>
          <w:sz w:val="20"/>
        </w:rPr>
        <w:t xml:space="preserve"> y el flujo subter</w:t>
      </w:r>
      <w:r w:rsidR="00417266" w:rsidRPr="00B74914">
        <w:rPr>
          <w:sz w:val="20"/>
        </w:rPr>
        <w:t>ráneo que anteriormente descargó</w:t>
      </w:r>
      <w:r w:rsidRPr="00B74914">
        <w:rPr>
          <w:sz w:val="20"/>
        </w:rPr>
        <w:t xml:space="preserve"> a través de ellas, actualmente sigue una dirección SW-NE con dirección hacia el acuífero de Perote –</w:t>
      </w:r>
      <w:proofErr w:type="spellStart"/>
      <w:r w:rsidRPr="00B74914">
        <w:rPr>
          <w:sz w:val="20"/>
        </w:rPr>
        <w:t>Zayaleta</w:t>
      </w:r>
      <w:proofErr w:type="spellEnd"/>
      <w:r w:rsidRPr="00B74914">
        <w:rPr>
          <w:sz w:val="20"/>
        </w:rPr>
        <w:t xml:space="preserve"> y posteriormente hacia el acuífero de Martínez de La Torre – </w:t>
      </w:r>
      <w:proofErr w:type="spellStart"/>
      <w:r w:rsidRPr="00B74914">
        <w:rPr>
          <w:sz w:val="20"/>
        </w:rPr>
        <w:t>Nautla</w:t>
      </w:r>
      <w:proofErr w:type="spellEnd"/>
      <w:r w:rsidRPr="00B74914">
        <w:rPr>
          <w:sz w:val="20"/>
        </w:rPr>
        <w:t>.</w:t>
      </w:r>
    </w:p>
    <w:p w:rsidR="005D479D" w:rsidRPr="00B74914" w:rsidRDefault="00417266" w:rsidP="005D479D">
      <w:pPr>
        <w:rPr>
          <w:sz w:val="20"/>
        </w:rPr>
      </w:pPr>
      <w:r w:rsidRPr="00B74914">
        <w:rPr>
          <w:sz w:val="20"/>
        </w:rPr>
        <w:t>E</w:t>
      </w:r>
      <w:r w:rsidR="005D479D" w:rsidRPr="00B74914">
        <w:rPr>
          <w:sz w:val="20"/>
        </w:rPr>
        <w:t>l abatimiento de</w:t>
      </w:r>
      <w:r w:rsidRPr="00B74914">
        <w:rPr>
          <w:sz w:val="20"/>
        </w:rPr>
        <w:t>l acuífero en las áreas lacustres</w:t>
      </w:r>
      <w:r w:rsidR="005D479D" w:rsidRPr="00B74914">
        <w:rPr>
          <w:sz w:val="20"/>
        </w:rPr>
        <w:t xml:space="preserve"> ha</w:t>
      </w:r>
      <w:r w:rsidR="007A5749" w:rsidRPr="00B74914">
        <w:rPr>
          <w:sz w:val="20"/>
        </w:rPr>
        <w:t xml:space="preserve"> </w:t>
      </w:r>
      <w:r w:rsidR="005D479D" w:rsidRPr="00B74914">
        <w:rPr>
          <w:sz w:val="20"/>
        </w:rPr>
        <w:t>inducido una infiltración estacional significativa en el lecho de los lagos</w:t>
      </w:r>
      <w:r w:rsidR="007A5749" w:rsidRPr="00B74914">
        <w:rPr>
          <w:sz w:val="20"/>
        </w:rPr>
        <w:t xml:space="preserve">, </w:t>
      </w:r>
      <w:r w:rsidRPr="00B74914">
        <w:rPr>
          <w:sz w:val="20"/>
        </w:rPr>
        <w:t xml:space="preserve">lo que conlleva una </w:t>
      </w:r>
      <w:r w:rsidR="005D479D" w:rsidRPr="00B74914">
        <w:rPr>
          <w:sz w:val="20"/>
        </w:rPr>
        <w:t>infiltración directa de la lluvia en áreas que originalmente no eran receptoras de recarga.</w:t>
      </w:r>
      <w:r w:rsidRPr="00B74914">
        <w:rPr>
          <w:sz w:val="20"/>
        </w:rPr>
        <w:t xml:space="preserve"> E</w:t>
      </w:r>
      <w:r w:rsidR="007A5749" w:rsidRPr="00B74914">
        <w:rPr>
          <w:sz w:val="20"/>
        </w:rPr>
        <w:t>stas zonas s</w:t>
      </w:r>
      <w:r w:rsidRPr="00B74914">
        <w:rPr>
          <w:sz w:val="20"/>
        </w:rPr>
        <w:t xml:space="preserve">on </w:t>
      </w:r>
      <w:r w:rsidR="007A5749" w:rsidRPr="00B74914">
        <w:rPr>
          <w:sz w:val="20"/>
        </w:rPr>
        <w:t xml:space="preserve">altamente </w:t>
      </w:r>
      <w:r w:rsidRPr="00B74914">
        <w:rPr>
          <w:sz w:val="20"/>
        </w:rPr>
        <w:t>vulnerables a la contaminación y dicho problema pone en riesgo la calidad del agua subterránea en la periferia de las lagunas.</w:t>
      </w:r>
    </w:p>
    <w:p w:rsidR="00EA611E" w:rsidRPr="00B74914" w:rsidRDefault="00EA611E" w:rsidP="005D479D">
      <w:pPr>
        <w:rPr>
          <w:sz w:val="20"/>
        </w:rPr>
      </w:pPr>
      <w:r w:rsidRPr="00B74914">
        <w:rPr>
          <w:sz w:val="20"/>
        </w:rPr>
        <w:t xml:space="preserve">En torno a la caracterización de los aprovechamientos subterráneos, el censo </w:t>
      </w:r>
      <w:r w:rsidR="007A5749" w:rsidRPr="00B74914">
        <w:rPr>
          <w:sz w:val="20"/>
        </w:rPr>
        <w:t>más</w:t>
      </w:r>
      <w:r w:rsidRPr="00B74914">
        <w:rPr>
          <w:sz w:val="20"/>
        </w:rPr>
        <w:t xml:space="preserve"> reciente se realizó en el año de 1996 encontrando </w:t>
      </w:r>
      <w:r w:rsidR="0003517B" w:rsidRPr="00B74914">
        <w:rPr>
          <w:sz w:val="20"/>
        </w:rPr>
        <w:t>749</w:t>
      </w:r>
      <w:r w:rsidRPr="00B74914">
        <w:rPr>
          <w:sz w:val="20"/>
        </w:rPr>
        <w:t xml:space="preserve"> aprovechamientos</w:t>
      </w:r>
      <w:r w:rsidR="0003517B" w:rsidRPr="00B74914">
        <w:rPr>
          <w:sz w:val="20"/>
        </w:rPr>
        <w:t xml:space="preserve"> activos</w:t>
      </w:r>
      <w:r w:rsidRPr="00B74914">
        <w:rPr>
          <w:sz w:val="20"/>
        </w:rPr>
        <w:t xml:space="preserve">, </w:t>
      </w:r>
      <w:r w:rsidR="0003517B" w:rsidRPr="00B74914">
        <w:rPr>
          <w:sz w:val="20"/>
        </w:rPr>
        <w:t>195</w:t>
      </w:r>
      <w:r w:rsidRPr="00B74914">
        <w:rPr>
          <w:sz w:val="20"/>
        </w:rPr>
        <w:t xml:space="preserve"> </w:t>
      </w:r>
      <w:r w:rsidR="0003517B" w:rsidRPr="00B74914">
        <w:rPr>
          <w:sz w:val="20"/>
        </w:rPr>
        <w:t>in</w:t>
      </w:r>
      <w:r w:rsidRPr="00B74914">
        <w:rPr>
          <w:sz w:val="20"/>
        </w:rPr>
        <w:t xml:space="preserve">activos y </w:t>
      </w:r>
      <w:r w:rsidR="0003517B" w:rsidRPr="00B74914">
        <w:rPr>
          <w:sz w:val="20"/>
        </w:rPr>
        <w:t>3 sin dato.</w:t>
      </w:r>
      <w:r w:rsidR="00006970" w:rsidRPr="00B74914">
        <w:rPr>
          <w:sz w:val="20"/>
        </w:rPr>
        <w:t xml:space="preserve">  Es necesaria la actualización del censo que de acuerdo con los análisis, se estima que desde su versión original omitió una cantidad importante de captaciones y además de ello la cantidad ha aumentado durante los últimos años. </w:t>
      </w:r>
    </w:p>
    <w:p w:rsidR="0044292C" w:rsidRDefault="0044292C" w:rsidP="0044292C">
      <w:pPr>
        <w:rPr>
          <w:sz w:val="20"/>
        </w:rPr>
      </w:pPr>
      <w:r>
        <w:rPr>
          <w:sz w:val="20"/>
        </w:rPr>
        <w:t>En cuanto a c</w:t>
      </w:r>
      <w:r w:rsidRPr="005D479D">
        <w:rPr>
          <w:sz w:val="20"/>
        </w:rPr>
        <w:t>alidad de agua subterránea</w:t>
      </w:r>
      <w:r>
        <w:rPr>
          <w:sz w:val="20"/>
        </w:rPr>
        <w:t>, l</w:t>
      </w:r>
      <w:r w:rsidRPr="005D479D">
        <w:rPr>
          <w:sz w:val="20"/>
        </w:rPr>
        <w:t xml:space="preserve">a salinidad del agua es baja, pero aumenta hacia las depresiones centrales, -áreas lacustres de El Carmen y </w:t>
      </w:r>
      <w:proofErr w:type="spellStart"/>
      <w:r w:rsidRPr="005D479D">
        <w:rPr>
          <w:sz w:val="20"/>
        </w:rPr>
        <w:t>Tepeyehualco</w:t>
      </w:r>
      <w:proofErr w:type="spellEnd"/>
      <w:r w:rsidRPr="005D479D">
        <w:rPr>
          <w:sz w:val="20"/>
        </w:rPr>
        <w:t xml:space="preserve">-, donde alcanza valores de 1,000 ppm, a causa de la presencia de depósitos salinos producto de la evaporación. En las mismas áreas, el agua subterránea contiene Boro y otros elementos químicos disueltos, en concentraciones superiores a </w:t>
      </w:r>
      <w:r w:rsidR="00241968">
        <w:rPr>
          <w:sz w:val="20"/>
        </w:rPr>
        <w:t>los aceptables de acuerdo con la norma de agua potable</w:t>
      </w:r>
      <w:r w:rsidRPr="005D479D">
        <w:rPr>
          <w:sz w:val="20"/>
        </w:rPr>
        <w:t>. El tipo más común de agua es mixta carbonatada y sulfatada-mixta</w:t>
      </w:r>
      <w:r>
        <w:rPr>
          <w:sz w:val="20"/>
        </w:rPr>
        <w:t xml:space="preserve">. </w:t>
      </w:r>
      <w:r w:rsidRPr="0044292C">
        <w:rPr>
          <w:sz w:val="20"/>
        </w:rPr>
        <w:t xml:space="preserve">En general el líquido es apto para consumo humano, y para el uso agrícola es adecuada para cultivos tolerantes a la salinidad, exceptuando a una pequeña porción de la zona </w:t>
      </w:r>
      <w:proofErr w:type="spellStart"/>
      <w:r w:rsidRPr="0044292C">
        <w:rPr>
          <w:sz w:val="20"/>
        </w:rPr>
        <w:t>Tepeyahualco</w:t>
      </w:r>
      <w:proofErr w:type="spellEnd"/>
      <w:r>
        <w:rPr>
          <w:sz w:val="20"/>
        </w:rPr>
        <w:t>.</w:t>
      </w:r>
    </w:p>
    <w:p w:rsidR="00EA611E" w:rsidRPr="00B74914" w:rsidRDefault="00241968" w:rsidP="0028348D">
      <w:pPr>
        <w:rPr>
          <w:sz w:val="20"/>
        </w:rPr>
      </w:pPr>
      <w:r w:rsidRPr="00B74914">
        <w:rPr>
          <w:sz w:val="20"/>
        </w:rPr>
        <w:t>En términos piezométricos, a partir de la información histórica se graficaron</w:t>
      </w:r>
      <w:r w:rsidR="00EA611E" w:rsidRPr="00B74914">
        <w:rPr>
          <w:sz w:val="20"/>
        </w:rPr>
        <w:t xml:space="preserve"> 45 hidrógrafos de niveles estáticos; se aprecia que la tendencia general es hacia el abatimiento. </w:t>
      </w:r>
    </w:p>
    <w:tbl>
      <w:tblPr>
        <w:tblW w:w="10962" w:type="dxa"/>
        <w:tblLook w:val="04A0"/>
      </w:tblPr>
      <w:tblGrid>
        <w:gridCol w:w="4786"/>
        <w:gridCol w:w="6176"/>
      </w:tblGrid>
      <w:tr w:rsidR="00EA611E" w:rsidRPr="00414011" w:rsidTr="00241968">
        <w:tc>
          <w:tcPr>
            <w:tcW w:w="4786" w:type="dxa"/>
          </w:tcPr>
          <w:p w:rsidR="00EA611E" w:rsidRPr="00414011" w:rsidRDefault="00EA611E" w:rsidP="00241968">
            <w:pPr>
              <w:rPr>
                <w:rFonts w:eastAsia="Calibri"/>
                <w:sz w:val="20"/>
                <w:szCs w:val="22"/>
              </w:rPr>
            </w:pPr>
            <w:r w:rsidRPr="00414011">
              <w:rPr>
                <w:rFonts w:eastAsia="Calibri"/>
                <w:sz w:val="20"/>
                <w:szCs w:val="22"/>
              </w:rPr>
              <w:t>Se configuró la evolución del nivel estático para el periodo 1996-2008. Los resultados indican que la zona con abatimientos más críticos se localizan en la porción centro-sur, entre el cerro El Brujo y Las Derrumbadas, que junto con la Ciudad Libres, presentan los mayores abatimientos, siendo de 0.50 a 0.90 m/año. En general, toda la zona con información piezométrica resultó con evoluciones negativas, siendo el abatimiento medio ponderado regional de 0.37 m/año; de 0.345 m/año para Huamantla;  de 0.321 m/año en Libres – Oriental, y de 0.227 m/año en Perote-</w:t>
            </w:r>
            <w:proofErr w:type="spellStart"/>
            <w:r w:rsidRPr="00414011">
              <w:rPr>
                <w:rFonts w:eastAsia="Calibri"/>
                <w:sz w:val="20"/>
                <w:szCs w:val="22"/>
              </w:rPr>
              <w:t>Zayaleta</w:t>
            </w:r>
            <w:proofErr w:type="spellEnd"/>
            <w:r w:rsidRPr="00B74914">
              <w:rPr>
                <w:rFonts w:eastAsia="Calibri"/>
                <w:sz w:val="20"/>
                <w:szCs w:val="22"/>
              </w:rPr>
              <w:t>.</w:t>
            </w:r>
            <w:r w:rsidR="00241968" w:rsidRPr="00B74914">
              <w:rPr>
                <w:rFonts w:eastAsia="Calibri"/>
                <w:sz w:val="20"/>
                <w:szCs w:val="22"/>
              </w:rPr>
              <w:t xml:space="preserve">  Sólo los años 1996 y 2008 cuentan con una </w:t>
            </w:r>
            <w:r w:rsidR="00E149AD" w:rsidRPr="00B74914">
              <w:rPr>
                <w:rFonts w:eastAsia="Calibri"/>
                <w:sz w:val="20"/>
                <w:szCs w:val="22"/>
              </w:rPr>
              <w:t>distribución</w:t>
            </w:r>
            <w:r w:rsidR="00241968" w:rsidRPr="00B74914">
              <w:rPr>
                <w:rFonts w:eastAsia="Calibri"/>
                <w:sz w:val="20"/>
                <w:szCs w:val="22"/>
              </w:rPr>
              <w:t xml:space="preserve"> geográfica aceptable para el estudio comparativo de las configuraciones en todo el acuífero.</w:t>
            </w:r>
          </w:p>
        </w:tc>
        <w:tc>
          <w:tcPr>
            <w:tcW w:w="6176" w:type="dxa"/>
          </w:tcPr>
          <w:p w:rsidR="00EA611E" w:rsidRPr="00414011" w:rsidRDefault="002B2F5D" w:rsidP="00414011">
            <w:pPr>
              <w:ind w:firstLine="0"/>
              <w:rPr>
                <w:rFonts w:eastAsia="Calibri"/>
                <w:sz w:val="20"/>
                <w:szCs w:val="22"/>
              </w:rPr>
            </w:pPr>
            <w:r>
              <w:rPr>
                <w:rFonts w:eastAsia="Calibri"/>
                <w:noProof/>
                <w:szCs w:val="22"/>
                <w:lang w:eastAsia="es-MX"/>
              </w:rPr>
              <w:drawing>
                <wp:inline distT="0" distB="0" distL="0" distR="0">
                  <wp:extent cx="3505200" cy="2619375"/>
                  <wp:effectExtent l="19050" t="0" r="0" b="0"/>
                  <wp:docPr id="4" name="Imagen 45" descr="C:\Huamantla_Libres_Perote\Figuras\Abatimiento_medio_anu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C:\Huamantla_Libres_Perote\Figuras\Abatimiento_medio_anual.jpg"/>
                          <pic:cNvPicPr>
                            <a:picLocks noChangeAspect="1" noChangeArrowheads="1"/>
                          </pic:cNvPicPr>
                        </pic:nvPicPr>
                        <pic:blipFill>
                          <a:blip r:embed="rId20" cstate="print"/>
                          <a:srcRect/>
                          <a:stretch>
                            <a:fillRect/>
                          </a:stretch>
                        </pic:blipFill>
                        <pic:spPr bwMode="auto">
                          <a:xfrm>
                            <a:off x="0" y="0"/>
                            <a:ext cx="3505200" cy="2619375"/>
                          </a:xfrm>
                          <a:prstGeom prst="rect">
                            <a:avLst/>
                          </a:prstGeom>
                          <a:noFill/>
                          <a:ln w="9525">
                            <a:noFill/>
                            <a:miter lim="800000"/>
                            <a:headEnd/>
                            <a:tailEnd/>
                          </a:ln>
                        </pic:spPr>
                      </pic:pic>
                    </a:graphicData>
                  </a:graphic>
                </wp:inline>
              </w:drawing>
            </w:r>
          </w:p>
        </w:tc>
      </w:tr>
    </w:tbl>
    <w:p w:rsidR="005C3259" w:rsidRDefault="005C3259" w:rsidP="005C3259"/>
    <w:p w:rsidR="00787D1D" w:rsidRDefault="00787D1D" w:rsidP="00787D1D">
      <w:pPr>
        <w:pStyle w:val="Ttulo1"/>
      </w:pPr>
      <w:bookmarkStart w:id="17" w:name="_Toc283641770"/>
      <w:r>
        <w:lastRenderedPageBreak/>
        <w:t>Caracterización y proyección de la demanda</w:t>
      </w:r>
      <w:bookmarkEnd w:id="17"/>
    </w:p>
    <w:p w:rsidR="00CC5240" w:rsidRPr="002C1057" w:rsidRDefault="00CC5240" w:rsidP="002C1057">
      <w:pPr>
        <w:pStyle w:val="Tabla1cap3"/>
      </w:pPr>
      <w:r w:rsidRPr="002C1057">
        <w:t>Zona de estudio. REPDA histórico según origen y uso</w:t>
      </w:r>
    </w:p>
    <w:tbl>
      <w:tblPr>
        <w:tblW w:w="10073" w:type="dxa"/>
        <w:tblBorders>
          <w:top w:val="single" w:sz="12" w:space="0" w:color="008000"/>
          <w:bottom w:val="single" w:sz="12" w:space="0" w:color="008000"/>
        </w:tblBorders>
        <w:tblLook w:val="04A0"/>
      </w:tblPr>
      <w:tblGrid>
        <w:gridCol w:w="1213"/>
        <w:gridCol w:w="1112"/>
        <w:gridCol w:w="1112"/>
        <w:gridCol w:w="1112"/>
        <w:gridCol w:w="1112"/>
        <w:gridCol w:w="1112"/>
        <w:gridCol w:w="1112"/>
        <w:gridCol w:w="1112"/>
        <w:gridCol w:w="1112"/>
      </w:tblGrid>
      <w:tr w:rsidR="00CC5240" w:rsidRPr="00DF72F4" w:rsidTr="00241968">
        <w:trPr>
          <w:trHeight w:val="233"/>
        </w:trPr>
        <w:tc>
          <w:tcPr>
            <w:tcW w:w="1167" w:type="dxa"/>
            <w:vMerge w:val="restart"/>
            <w:shd w:val="clear" w:color="auto" w:fill="auto"/>
          </w:tcPr>
          <w:p w:rsidR="00CC5240" w:rsidRPr="00DF72F4" w:rsidRDefault="00CC5240" w:rsidP="00F17A1E">
            <w:pPr>
              <w:spacing w:before="0" w:after="20" w:line="240" w:lineRule="auto"/>
              <w:ind w:firstLine="0"/>
              <w:rPr>
                <w:b/>
                <w:bCs/>
                <w:sz w:val="14"/>
                <w:szCs w:val="14"/>
              </w:rPr>
            </w:pPr>
            <w:r w:rsidRPr="00DF72F4">
              <w:rPr>
                <w:b/>
                <w:bCs/>
                <w:sz w:val="14"/>
                <w:szCs w:val="14"/>
              </w:rPr>
              <w:t>Uso</w:t>
            </w:r>
          </w:p>
        </w:tc>
        <w:tc>
          <w:tcPr>
            <w:tcW w:w="4458" w:type="dxa"/>
            <w:gridSpan w:val="4"/>
            <w:tcBorders>
              <w:top w:val="single" w:sz="12" w:space="0" w:color="008000"/>
              <w:bottom w:val="single" w:sz="8" w:space="0" w:color="008000"/>
              <w:right w:val="single" w:sz="2" w:space="0" w:color="008000"/>
            </w:tcBorders>
            <w:shd w:val="clear" w:color="auto" w:fill="auto"/>
          </w:tcPr>
          <w:p w:rsidR="00CC5240" w:rsidRPr="00DF72F4" w:rsidRDefault="00CC5240" w:rsidP="00F17A1E">
            <w:pPr>
              <w:spacing w:before="0" w:after="20" w:line="240" w:lineRule="auto"/>
              <w:ind w:firstLine="0"/>
              <w:jc w:val="center"/>
              <w:rPr>
                <w:b/>
                <w:bCs/>
                <w:sz w:val="14"/>
                <w:szCs w:val="14"/>
              </w:rPr>
            </w:pPr>
            <w:r w:rsidRPr="00DF72F4">
              <w:rPr>
                <w:b/>
                <w:bCs/>
                <w:sz w:val="14"/>
                <w:szCs w:val="14"/>
              </w:rPr>
              <w:t>SUBTERRANEO</w:t>
            </w:r>
          </w:p>
        </w:tc>
        <w:tc>
          <w:tcPr>
            <w:tcW w:w="4448" w:type="dxa"/>
            <w:gridSpan w:val="4"/>
            <w:tcBorders>
              <w:top w:val="single" w:sz="12" w:space="0" w:color="008000"/>
              <w:left w:val="single" w:sz="2" w:space="0" w:color="008000"/>
              <w:bottom w:val="single" w:sz="8" w:space="0" w:color="008000"/>
            </w:tcBorders>
            <w:shd w:val="clear" w:color="auto" w:fill="auto"/>
          </w:tcPr>
          <w:p w:rsidR="00CC5240" w:rsidRPr="00DF72F4" w:rsidRDefault="00CC5240" w:rsidP="00F17A1E">
            <w:pPr>
              <w:spacing w:before="0" w:after="20" w:line="240" w:lineRule="auto"/>
              <w:ind w:firstLine="0"/>
              <w:jc w:val="center"/>
              <w:rPr>
                <w:b/>
                <w:bCs/>
                <w:sz w:val="14"/>
                <w:szCs w:val="14"/>
              </w:rPr>
            </w:pPr>
            <w:r w:rsidRPr="00DF72F4">
              <w:rPr>
                <w:b/>
                <w:bCs/>
                <w:sz w:val="14"/>
                <w:szCs w:val="14"/>
              </w:rPr>
              <w:t>SUPERFICIAL</w:t>
            </w:r>
          </w:p>
        </w:tc>
      </w:tr>
      <w:tr w:rsidR="00CC5240" w:rsidRPr="00DF72F4" w:rsidTr="00241968">
        <w:trPr>
          <w:trHeight w:val="233"/>
        </w:trPr>
        <w:tc>
          <w:tcPr>
            <w:tcW w:w="1167" w:type="dxa"/>
            <w:vMerge/>
            <w:shd w:val="clear" w:color="auto" w:fill="auto"/>
          </w:tcPr>
          <w:p w:rsidR="00CC5240" w:rsidRPr="00DF72F4" w:rsidRDefault="00CC5240" w:rsidP="00F17A1E">
            <w:pPr>
              <w:spacing w:before="0" w:after="20" w:line="240" w:lineRule="auto"/>
              <w:ind w:firstLine="0"/>
              <w:rPr>
                <w:b/>
                <w:bCs/>
                <w:sz w:val="14"/>
                <w:szCs w:val="14"/>
              </w:rPr>
            </w:pPr>
          </w:p>
        </w:tc>
        <w:tc>
          <w:tcPr>
            <w:tcW w:w="1122" w:type="dxa"/>
            <w:tcBorders>
              <w:top w:val="single" w:sz="8" w:space="0" w:color="008000"/>
            </w:tcBorders>
            <w:shd w:val="clear" w:color="auto" w:fill="auto"/>
          </w:tcPr>
          <w:p w:rsidR="00CC5240" w:rsidRPr="00DF72F4" w:rsidRDefault="00CC5240" w:rsidP="00F17A1E">
            <w:pPr>
              <w:spacing w:before="0" w:after="20" w:line="240" w:lineRule="auto"/>
              <w:ind w:firstLine="0"/>
              <w:jc w:val="center"/>
              <w:rPr>
                <w:b/>
                <w:bCs/>
                <w:sz w:val="14"/>
                <w:szCs w:val="14"/>
              </w:rPr>
            </w:pPr>
            <w:r w:rsidRPr="00DF72F4">
              <w:rPr>
                <w:b/>
                <w:bCs/>
                <w:sz w:val="14"/>
                <w:szCs w:val="14"/>
              </w:rPr>
              <w:t>2005</w:t>
            </w:r>
          </w:p>
        </w:tc>
        <w:tc>
          <w:tcPr>
            <w:tcW w:w="1112" w:type="dxa"/>
            <w:tcBorders>
              <w:top w:val="single" w:sz="8" w:space="0" w:color="008000"/>
            </w:tcBorders>
            <w:shd w:val="clear" w:color="auto" w:fill="auto"/>
          </w:tcPr>
          <w:p w:rsidR="00CC5240" w:rsidRPr="00DF72F4" w:rsidRDefault="00CC5240" w:rsidP="00F17A1E">
            <w:pPr>
              <w:spacing w:before="0" w:after="20" w:line="240" w:lineRule="auto"/>
              <w:ind w:firstLine="0"/>
              <w:jc w:val="center"/>
              <w:rPr>
                <w:b/>
                <w:bCs/>
                <w:sz w:val="14"/>
                <w:szCs w:val="14"/>
              </w:rPr>
            </w:pPr>
            <w:r w:rsidRPr="00DF72F4">
              <w:rPr>
                <w:b/>
                <w:bCs/>
                <w:sz w:val="14"/>
                <w:szCs w:val="14"/>
              </w:rPr>
              <w:t>2006</w:t>
            </w:r>
          </w:p>
        </w:tc>
        <w:tc>
          <w:tcPr>
            <w:tcW w:w="1112" w:type="dxa"/>
            <w:tcBorders>
              <w:top w:val="single" w:sz="8" w:space="0" w:color="008000"/>
            </w:tcBorders>
            <w:shd w:val="clear" w:color="auto" w:fill="auto"/>
          </w:tcPr>
          <w:p w:rsidR="00CC5240" w:rsidRPr="00DF72F4" w:rsidRDefault="00CC5240" w:rsidP="00F17A1E">
            <w:pPr>
              <w:spacing w:before="0" w:after="20" w:line="240" w:lineRule="auto"/>
              <w:ind w:firstLine="0"/>
              <w:jc w:val="center"/>
              <w:rPr>
                <w:b/>
                <w:bCs/>
                <w:sz w:val="14"/>
                <w:szCs w:val="14"/>
              </w:rPr>
            </w:pPr>
            <w:r w:rsidRPr="00DF72F4">
              <w:rPr>
                <w:b/>
                <w:bCs/>
                <w:sz w:val="14"/>
                <w:szCs w:val="14"/>
              </w:rPr>
              <w:t>2007</w:t>
            </w:r>
          </w:p>
        </w:tc>
        <w:tc>
          <w:tcPr>
            <w:tcW w:w="1112" w:type="dxa"/>
            <w:tcBorders>
              <w:top w:val="single" w:sz="8" w:space="0" w:color="008000"/>
              <w:right w:val="single" w:sz="2" w:space="0" w:color="008000"/>
            </w:tcBorders>
            <w:shd w:val="clear" w:color="auto" w:fill="auto"/>
          </w:tcPr>
          <w:p w:rsidR="00CC5240" w:rsidRPr="00DF72F4" w:rsidRDefault="00CC5240" w:rsidP="00F17A1E">
            <w:pPr>
              <w:spacing w:before="0" w:after="20" w:line="240" w:lineRule="auto"/>
              <w:ind w:firstLine="0"/>
              <w:jc w:val="center"/>
              <w:rPr>
                <w:b/>
                <w:bCs/>
                <w:sz w:val="14"/>
                <w:szCs w:val="14"/>
              </w:rPr>
            </w:pPr>
            <w:r w:rsidRPr="00DF72F4">
              <w:rPr>
                <w:b/>
                <w:bCs/>
                <w:sz w:val="14"/>
                <w:szCs w:val="14"/>
              </w:rPr>
              <w:t>2008</w:t>
            </w:r>
          </w:p>
        </w:tc>
        <w:tc>
          <w:tcPr>
            <w:tcW w:w="1112" w:type="dxa"/>
            <w:tcBorders>
              <w:top w:val="single" w:sz="8" w:space="0" w:color="008000"/>
              <w:left w:val="single" w:sz="2" w:space="0" w:color="008000"/>
            </w:tcBorders>
            <w:shd w:val="clear" w:color="auto" w:fill="auto"/>
          </w:tcPr>
          <w:p w:rsidR="00CC5240" w:rsidRPr="00DF72F4" w:rsidRDefault="00CC5240" w:rsidP="00F17A1E">
            <w:pPr>
              <w:spacing w:before="0" w:after="20" w:line="240" w:lineRule="auto"/>
              <w:ind w:firstLine="0"/>
              <w:jc w:val="center"/>
              <w:rPr>
                <w:b/>
                <w:bCs/>
                <w:sz w:val="14"/>
                <w:szCs w:val="14"/>
              </w:rPr>
            </w:pPr>
            <w:r w:rsidRPr="00DF72F4">
              <w:rPr>
                <w:b/>
                <w:bCs/>
                <w:sz w:val="14"/>
                <w:szCs w:val="14"/>
              </w:rPr>
              <w:t>2005</w:t>
            </w:r>
          </w:p>
        </w:tc>
        <w:tc>
          <w:tcPr>
            <w:tcW w:w="1112" w:type="dxa"/>
            <w:tcBorders>
              <w:top w:val="single" w:sz="8" w:space="0" w:color="008000"/>
            </w:tcBorders>
            <w:shd w:val="clear" w:color="auto" w:fill="auto"/>
          </w:tcPr>
          <w:p w:rsidR="00CC5240" w:rsidRPr="00DF72F4" w:rsidRDefault="00CC5240" w:rsidP="00F17A1E">
            <w:pPr>
              <w:spacing w:before="0" w:after="20" w:line="240" w:lineRule="auto"/>
              <w:ind w:firstLine="0"/>
              <w:jc w:val="center"/>
              <w:rPr>
                <w:b/>
                <w:bCs/>
                <w:sz w:val="14"/>
                <w:szCs w:val="14"/>
              </w:rPr>
            </w:pPr>
            <w:r w:rsidRPr="00DF72F4">
              <w:rPr>
                <w:b/>
                <w:bCs/>
                <w:sz w:val="14"/>
                <w:szCs w:val="14"/>
              </w:rPr>
              <w:t>2006</w:t>
            </w:r>
          </w:p>
        </w:tc>
        <w:tc>
          <w:tcPr>
            <w:tcW w:w="1112" w:type="dxa"/>
            <w:tcBorders>
              <w:top w:val="single" w:sz="8" w:space="0" w:color="008000"/>
            </w:tcBorders>
            <w:shd w:val="clear" w:color="auto" w:fill="auto"/>
          </w:tcPr>
          <w:p w:rsidR="00CC5240" w:rsidRPr="00DF72F4" w:rsidRDefault="00CC5240" w:rsidP="00F17A1E">
            <w:pPr>
              <w:spacing w:before="0" w:after="20" w:line="240" w:lineRule="auto"/>
              <w:ind w:firstLine="0"/>
              <w:jc w:val="center"/>
              <w:rPr>
                <w:b/>
                <w:bCs/>
                <w:sz w:val="14"/>
                <w:szCs w:val="14"/>
              </w:rPr>
            </w:pPr>
            <w:r w:rsidRPr="00DF72F4">
              <w:rPr>
                <w:b/>
                <w:bCs/>
                <w:sz w:val="14"/>
                <w:szCs w:val="14"/>
              </w:rPr>
              <w:t>2007</w:t>
            </w:r>
          </w:p>
        </w:tc>
        <w:tc>
          <w:tcPr>
            <w:tcW w:w="1112" w:type="dxa"/>
            <w:tcBorders>
              <w:top w:val="single" w:sz="8" w:space="0" w:color="008000"/>
            </w:tcBorders>
            <w:shd w:val="clear" w:color="auto" w:fill="auto"/>
          </w:tcPr>
          <w:p w:rsidR="00CC5240" w:rsidRPr="00DF72F4" w:rsidRDefault="00CC5240" w:rsidP="00F17A1E">
            <w:pPr>
              <w:spacing w:before="0" w:after="20" w:line="240" w:lineRule="auto"/>
              <w:ind w:firstLine="0"/>
              <w:jc w:val="center"/>
              <w:rPr>
                <w:b/>
                <w:bCs/>
                <w:sz w:val="14"/>
                <w:szCs w:val="14"/>
              </w:rPr>
            </w:pPr>
            <w:r w:rsidRPr="00DF72F4">
              <w:rPr>
                <w:b/>
                <w:bCs/>
                <w:sz w:val="14"/>
                <w:szCs w:val="14"/>
              </w:rPr>
              <w:t>2008</w:t>
            </w:r>
          </w:p>
        </w:tc>
      </w:tr>
      <w:tr w:rsidR="00CC5240" w:rsidRPr="00DF72F4" w:rsidTr="00241968">
        <w:trPr>
          <w:trHeight w:val="233"/>
        </w:trPr>
        <w:tc>
          <w:tcPr>
            <w:tcW w:w="1167" w:type="dxa"/>
            <w:shd w:val="clear" w:color="auto" w:fill="auto"/>
          </w:tcPr>
          <w:p w:rsidR="00CC5240" w:rsidRPr="00DF72F4" w:rsidRDefault="00CC5240" w:rsidP="00F17A1E">
            <w:pPr>
              <w:spacing w:before="0" w:after="20" w:line="240" w:lineRule="auto"/>
              <w:ind w:firstLine="0"/>
              <w:rPr>
                <w:b/>
                <w:bCs/>
                <w:sz w:val="14"/>
                <w:szCs w:val="14"/>
              </w:rPr>
            </w:pPr>
            <w:r w:rsidRPr="00DF72F4">
              <w:rPr>
                <w:b/>
                <w:bCs/>
                <w:sz w:val="14"/>
                <w:szCs w:val="14"/>
              </w:rPr>
              <w:t>Termoeléctrica</w:t>
            </w:r>
          </w:p>
        </w:tc>
        <w:tc>
          <w:tcPr>
            <w:tcW w:w="112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6,473,649.0</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6,473,649.0</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6,473,649.0</w:t>
            </w:r>
          </w:p>
        </w:tc>
        <w:tc>
          <w:tcPr>
            <w:tcW w:w="1112" w:type="dxa"/>
            <w:tcBorders>
              <w:right w:val="single" w:sz="2" w:space="0" w:color="008000"/>
            </w:tcBorders>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6,473,649.0</w:t>
            </w:r>
          </w:p>
        </w:tc>
        <w:tc>
          <w:tcPr>
            <w:tcW w:w="1112" w:type="dxa"/>
            <w:tcBorders>
              <w:left w:val="single" w:sz="2" w:space="0" w:color="008000"/>
            </w:tcBorders>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0.0</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0.0</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0.0</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0.0</w:t>
            </w:r>
          </w:p>
        </w:tc>
      </w:tr>
      <w:tr w:rsidR="00CC5240" w:rsidRPr="00DF72F4" w:rsidTr="00241968">
        <w:trPr>
          <w:trHeight w:val="233"/>
        </w:trPr>
        <w:tc>
          <w:tcPr>
            <w:tcW w:w="1167" w:type="dxa"/>
            <w:shd w:val="clear" w:color="auto" w:fill="auto"/>
          </w:tcPr>
          <w:p w:rsidR="00CC5240" w:rsidRPr="00DF72F4" w:rsidRDefault="00CC5240" w:rsidP="00F17A1E">
            <w:pPr>
              <w:spacing w:before="0" w:after="20" w:line="240" w:lineRule="auto"/>
              <w:ind w:firstLine="0"/>
              <w:rPr>
                <w:b/>
                <w:bCs/>
                <w:sz w:val="14"/>
                <w:szCs w:val="14"/>
              </w:rPr>
            </w:pPr>
            <w:r w:rsidRPr="00DF72F4">
              <w:rPr>
                <w:b/>
                <w:bCs/>
                <w:sz w:val="14"/>
                <w:szCs w:val="14"/>
              </w:rPr>
              <w:t>Agropecuario</w:t>
            </w:r>
          </w:p>
        </w:tc>
        <w:tc>
          <w:tcPr>
            <w:tcW w:w="112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256,017,499.2</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258,187,336.2</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261,549,436.2</w:t>
            </w:r>
          </w:p>
        </w:tc>
        <w:tc>
          <w:tcPr>
            <w:tcW w:w="1112" w:type="dxa"/>
            <w:tcBorders>
              <w:right w:val="single" w:sz="2" w:space="0" w:color="008000"/>
            </w:tcBorders>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248,042,737.3</w:t>
            </w:r>
          </w:p>
        </w:tc>
        <w:tc>
          <w:tcPr>
            <w:tcW w:w="1112" w:type="dxa"/>
            <w:tcBorders>
              <w:left w:val="single" w:sz="2" w:space="0" w:color="008000"/>
            </w:tcBorders>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32,996,559.5</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30,339,595.2</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27,162,464.6</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27,181,515.9</w:t>
            </w:r>
          </w:p>
        </w:tc>
      </w:tr>
      <w:tr w:rsidR="00CC5240" w:rsidRPr="00DF72F4" w:rsidTr="00241968">
        <w:trPr>
          <w:trHeight w:val="233"/>
        </w:trPr>
        <w:tc>
          <w:tcPr>
            <w:tcW w:w="1167" w:type="dxa"/>
            <w:shd w:val="clear" w:color="auto" w:fill="auto"/>
          </w:tcPr>
          <w:p w:rsidR="00CC5240" w:rsidRPr="00DF72F4" w:rsidRDefault="00CC5240" w:rsidP="00F17A1E">
            <w:pPr>
              <w:spacing w:before="0" w:after="20" w:line="240" w:lineRule="auto"/>
              <w:ind w:firstLine="0"/>
              <w:rPr>
                <w:b/>
                <w:bCs/>
                <w:sz w:val="14"/>
                <w:szCs w:val="14"/>
              </w:rPr>
            </w:pPr>
            <w:r w:rsidRPr="00DF72F4">
              <w:rPr>
                <w:b/>
                <w:bCs/>
                <w:sz w:val="14"/>
                <w:szCs w:val="14"/>
              </w:rPr>
              <w:t xml:space="preserve">Público </w:t>
            </w:r>
            <w:proofErr w:type="spellStart"/>
            <w:r w:rsidRPr="00DF72F4">
              <w:rPr>
                <w:b/>
                <w:bCs/>
                <w:sz w:val="14"/>
                <w:szCs w:val="14"/>
              </w:rPr>
              <w:t>Urban</w:t>
            </w:r>
            <w:proofErr w:type="spellEnd"/>
          </w:p>
        </w:tc>
        <w:tc>
          <w:tcPr>
            <w:tcW w:w="112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27,600,134.9</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27,600,134.9</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27,628,385.9</w:t>
            </w:r>
          </w:p>
        </w:tc>
        <w:tc>
          <w:tcPr>
            <w:tcW w:w="1112" w:type="dxa"/>
            <w:tcBorders>
              <w:right w:val="single" w:sz="2" w:space="0" w:color="008000"/>
            </w:tcBorders>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27,345,944.7</w:t>
            </w:r>
          </w:p>
        </w:tc>
        <w:tc>
          <w:tcPr>
            <w:tcW w:w="1112" w:type="dxa"/>
            <w:tcBorders>
              <w:left w:val="single" w:sz="2" w:space="0" w:color="008000"/>
            </w:tcBorders>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75,641,744.6</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75,641,744.6</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75,754,803.3</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75,818,937.0</w:t>
            </w:r>
          </w:p>
        </w:tc>
      </w:tr>
      <w:tr w:rsidR="00CC5240" w:rsidRPr="00DF72F4" w:rsidTr="00241968">
        <w:trPr>
          <w:trHeight w:val="233"/>
        </w:trPr>
        <w:tc>
          <w:tcPr>
            <w:tcW w:w="1167" w:type="dxa"/>
            <w:shd w:val="clear" w:color="auto" w:fill="auto"/>
          </w:tcPr>
          <w:p w:rsidR="00CC5240" w:rsidRPr="00DF72F4" w:rsidRDefault="00CC5240" w:rsidP="00F17A1E">
            <w:pPr>
              <w:spacing w:before="0" w:after="20" w:line="240" w:lineRule="auto"/>
              <w:ind w:firstLine="0"/>
              <w:rPr>
                <w:b/>
                <w:bCs/>
                <w:sz w:val="14"/>
                <w:szCs w:val="14"/>
              </w:rPr>
            </w:pPr>
            <w:r w:rsidRPr="00DF72F4">
              <w:rPr>
                <w:b/>
                <w:bCs/>
                <w:sz w:val="14"/>
                <w:szCs w:val="14"/>
              </w:rPr>
              <w:t>Industrial</w:t>
            </w:r>
          </w:p>
        </w:tc>
        <w:tc>
          <w:tcPr>
            <w:tcW w:w="112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5,783,047.0</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5,783,047.0</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5,901,047.0</w:t>
            </w:r>
          </w:p>
        </w:tc>
        <w:tc>
          <w:tcPr>
            <w:tcW w:w="1112" w:type="dxa"/>
            <w:tcBorders>
              <w:right w:val="single" w:sz="2" w:space="0" w:color="008000"/>
            </w:tcBorders>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6,176,567.0</w:t>
            </w:r>
          </w:p>
        </w:tc>
        <w:tc>
          <w:tcPr>
            <w:tcW w:w="1112" w:type="dxa"/>
            <w:tcBorders>
              <w:left w:val="single" w:sz="2" w:space="0" w:color="008000"/>
            </w:tcBorders>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3,469.0</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3,469.0</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3,469.0</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3,469.0</w:t>
            </w:r>
          </w:p>
        </w:tc>
      </w:tr>
      <w:tr w:rsidR="00CC5240" w:rsidRPr="00DF72F4" w:rsidTr="00241968">
        <w:trPr>
          <w:trHeight w:val="234"/>
        </w:trPr>
        <w:tc>
          <w:tcPr>
            <w:tcW w:w="1167" w:type="dxa"/>
            <w:shd w:val="clear" w:color="auto" w:fill="auto"/>
          </w:tcPr>
          <w:p w:rsidR="00CC5240" w:rsidRPr="00DF72F4" w:rsidRDefault="00CC5240" w:rsidP="00F17A1E">
            <w:pPr>
              <w:spacing w:before="0" w:after="20" w:line="240" w:lineRule="auto"/>
              <w:ind w:firstLine="0"/>
              <w:rPr>
                <w:b/>
                <w:bCs/>
                <w:sz w:val="14"/>
                <w:szCs w:val="14"/>
              </w:rPr>
            </w:pPr>
            <w:r w:rsidRPr="00DF72F4">
              <w:rPr>
                <w:b/>
                <w:bCs/>
                <w:sz w:val="14"/>
                <w:szCs w:val="14"/>
              </w:rPr>
              <w:t>Total</w:t>
            </w:r>
          </w:p>
        </w:tc>
        <w:tc>
          <w:tcPr>
            <w:tcW w:w="112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295,874,330.1</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298,044,167.1</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301,552,518.1</w:t>
            </w:r>
          </w:p>
        </w:tc>
        <w:tc>
          <w:tcPr>
            <w:tcW w:w="1112" w:type="dxa"/>
            <w:tcBorders>
              <w:bottom w:val="single" w:sz="12" w:space="0" w:color="008000"/>
              <w:right w:val="single" w:sz="2" w:space="0" w:color="008000"/>
            </w:tcBorders>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288,038,898.0</w:t>
            </w:r>
          </w:p>
        </w:tc>
        <w:tc>
          <w:tcPr>
            <w:tcW w:w="1112" w:type="dxa"/>
            <w:tcBorders>
              <w:left w:val="single" w:sz="2" w:space="0" w:color="008000"/>
            </w:tcBorders>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108,641,773.1</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105,984,808.8</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102,920,736.9</w:t>
            </w:r>
          </w:p>
        </w:tc>
        <w:tc>
          <w:tcPr>
            <w:tcW w:w="1112" w:type="dxa"/>
            <w:shd w:val="clear" w:color="auto" w:fill="auto"/>
          </w:tcPr>
          <w:p w:rsidR="00CC5240" w:rsidRPr="00DF72F4" w:rsidRDefault="00CC5240" w:rsidP="00F17A1E">
            <w:pPr>
              <w:spacing w:before="0" w:after="20" w:line="240" w:lineRule="auto"/>
              <w:ind w:firstLine="0"/>
              <w:jc w:val="right"/>
              <w:rPr>
                <w:b/>
                <w:bCs/>
                <w:sz w:val="14"/>
                <w:szCs w:val="14"/>
              </w:rPr>
            </w:pPr>
            <w:r w:rsidRPr="00DF72F4">
              <w:rPr>
                <w:b/>
                <w:bCs/>
                <w:sz w:val="14"/>
                <w:szCs w:val="14"/>
              </w:rPr>
              <w:t>103,003,921.9</w:t>
            </w:r>
          </w:p>
        </w:tc>
      </w:tr>
    </w:tbl>
    <w:p w:rsidR="00CC5240" w:rsidRDefault="00CC5240" w:rsidP="00CC5240">
      <w:pPr>
        <w:pStyle w:val="Piedepgina"/>
      </w:pPr>
      <w:r>
        <w:t>Fuente: Cubo del agua, CONAGUA 2009</w:t>
      </w:r>
    </w:p>
    <w:tbl>
      <w:tblPr>
        <w:tblW w:w="0" w:type="auto"/>
        <w:tblLook w:val="04A0"/>
      </w:tblPr>
      <w:tblGrid>
        <w:gridCol w:w="6576"/>
        <w:gridCol w:w="3328"/>
      </w:tblGrid>
      <w:tr w:rsidR="00787D1D" w:rsidTr="005C3259">
        <w:tc>
          <w:tcPr>
            <w:tcW w:w="6576" w:type="dxa"/>
          </w:tcPr>
          <w:p w:rsidR="00787D1D" w:rsidRPr="00787D1D" w:rsidRDefault="002B2F5D" w:rsidP="00787D1D">
            <w:pPr>
              <w:ind w:firstLine="0"/>
              <w:rPr>
                <w:rFonts w:eastAsia="Calibri"/>
                <w:szCs w:val="22"/>
              </w:rPr>
            </w:pPr>
            <w:r>
              <w:rPr>
                <w:rFonts w:eastAsia="Calibri"/>
                <w:noProof/>
                <w:sz w:val="20"/>
                <w:szCs w:val="22"/>
                <w:lang w:eastAsia="es-MX"/>
              </w:rPr>
              <w:drawing>
                <wp:inline distT="0" distB="0" distL="0" distR="0">
                  <wp:extent cx="4029075" cy="2066925"/>
                  <wp:effectExtent l="0" t="0" r="9525"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1" cstate="print"/>
                          <a:srcRect/>
                          <a:stretch>
                            <a:fillRect/>
                          </a:stretch>
                        </pic:blipFill>
                        <pic:spPr bwMode="auto">
                          <a:xfrm>
                            <a:off x="0" y="0"/>
                            <a:ext cx="4029075" cy="2066925"/>
                          </a:xfrm>
                          <a:prstGeom prst="rect">
                            <a:avLst/>
                          </a:prstGeom>
                          <a:noFill/>
                          <a:ln w="9525">
                            <a:noFill/>
                            <a:miter lim="800000"/>
                            <a:headEnd/>
                            <a:tailEnd/>
                          </a:ln>
                        </pic:spPr>
                      </pic:pic>
                    </a:graphicData>
                  </a:graphic>
                </wp:inline>
              </w:drawing>
            </w:r>
          </w:p>
        </w:tc>
        <w:tc>
          <w:tcPr>
            <w:tcW w:w="3328" w:type="dxa"/>
          </w:tcPr>
          <w:p w:rsidR="005C3259" w:rsidRDefault="005C3259" w:rsidP="005529BE">
            <w:pPr>
              <w:rPr>
                <w:rFonts w:eastAsia="Calibri"/>
                <w:sz w:val="20"/>
              </w:rPr>
            </w:pPr>
          </w:p>
          <w:p w:rsidR="00787D1D" w:rsidRPr="00787D1D" w:rsidRDefault="00787D1D" w:rsidP="005C3259">
            <w:pPr>
              <w:rPr>
                <w:rFonts w:eastAsia="Calibri"/>
                <w:szCs w:val="22"/>
              </w:rPr>
            </w:pPr>
            <w:r w:rsidRPr="00787D1D">
              <w:rPr>
                <w:rFonts w:eastAsia="Calibri"/>
                <w:sz w:val="20"/>
              </w:rPr>
              <w:t>Históricamente el volumen concesionado en la zona es de 394.5 Mm3/año, correspondiendo el 73.4% al acuífero Libres-Oriental, el 16.5% y 10.1% al acuífero de Huamantla y Perote-</w:t>
            </w:r>
            <w:proofErr w:type="spellStart"/>
            <w:r w:rsidRPr="00787D1D">
              <w:rPr>
                <w:rFonts w:eastAsia="Calibri"/>
                <w:sz w:val="20"/>
              </w:rPr>
              <w:t>Zayaleta</w:t>
            </w:r>
            <w:proofErr w:type="spellEnd"/>
            <w:r w:rsidRPr="00787D1D">
              <w:rPr>
                <w:rFonts w:eastAsia="Calibri"/>
                <w:sz w:val="20"/>
              </w:rPr>
              <w:t>, respectivamente. Con respecto al origen del recurso, el 73.4% proviene de fuentes subterráneas y 26.6% es de origen superficial</w:t>
            </w:r>
          </w:p>
        </w:tc>
      </w:tr>
    </w:tbl>
    <w:p w:rsidR="0055340B" w:rsidRPr="0055340B" w:rsidRDefault="00787D1D" w:rsidP="00787D1D">
      <w:pPr>
        <w:rPr>
          <w:sz w:val="20"/>
        </w:rPr>
      </w:pPr>
      <w:r w:rsidRPr="0055340B">
        <w:rPr>
          <w:sz w:val="20"/>
        </w:rPr>
        <w:t xml:space="preserve">Actualmente el REPDA tiene registradas en la zona de estudio </w:t>
      </w:r>
      <w:r w:rsidR="0055340B" w:rsidRPr="0055340B">
        <w:rPr>
          <w:sz w:val="20"/>
        </w:rPr>
        <w:t>1,826 aprovechamientos, de los cuales 1,</w:t>
      </w:r>
      <w:r w:rsidR="00737B9A" w:rsidRPr="0055340B">
        <w:rPr>
          <w:sz w:val="20"/>
        </w:rPr>
        <w:t>442</w:t>
      </w:r>
      <w:r w:rsidRPr="0055340B">
        <w:rPr>
          <w:sz w:val="20"/>
        </w:rPr>
        <w:t xml:space="preserve"> </w:t>
      </w:r>
      <w:r w:rsidR="0055340B" w:rsidRPr="0055340B">
        <w:rPr>
          <w:sz w:val="20"/>
        </w:rPr>
        <w:t xml:space="preserve">son subterráneos y 348 superficiales (70% y 21%, respectivamente). De los primeros, 1,128 son de uso agrícola, mientras que de los superficiales, 344 son de uso público-urbano. El volumen total concesionado es de 292.6 millones de metros cúbicos. </w:t>
      </w:r>
    </w:p>
    <w:p w:rsidR="00787D1D" w:rsidRDefault="002B2F5D" w:rsidP="00787D1D">
      <w:pPr>
        <w:ind w:firstLine="0"/>
        <w:jc w:val="center"/>
        <w:rPr>
          <w:color w:val="FF0000"/>
        </w:rPr>
      </w:pPr>
      <w:r>
        <w:rPr>
          <w:noProof/>
          <w:color w:val="FF0000"/>
          <w:lang w:eastAsia="es-MX"/>
        </w:rPr>
        <w:drawing>
          <wp:inline distT="0" distB="0" distL="0" distR="0">
            <wp:extent cx="4940135" cy="2643551"/>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2" cstate="print"/>
                    <a:srcRect/>
                    <a:stretch>
                      <a:fillRect/>
                    </a:stretch>
                  </pic:blipFill>
                  <pic:spPr bwMode="auto">
                    <a:xfrm>
                      <a:off x="0" y="0"/>
                      <a:ext cx="4940059" cy="2643510"/>
                    </a:xfrm>
                    <a:prstGeom prst="rect">
                      <a:avLst/>
                    </a:prstGeom>
                    <a:noFill/>
                    <a:ln w="9525">
                      <a:noFill/>
                      <a:miter lim="800000"/>
                      <a:headEnd/>
                      <a:tailEnd/>
                    </a:ln>
                  </pic:spPr>
                </pic:pic>
              </a:graphicData>
            </a:graphic>
          </wp:inline>
        </w:drawing>
      </w:r>
    </w:p>
    <w:p w:rsidR="00787D1D" w:rsidRPr="00D4608A" w:rsidRDefault="00D4608A" w:rsidP="00D4608A">
      <w:pPr>
        <w:pStyle w:val="Ttulo1"/>
      </w:pPr>
      <w:bookmarkStart w:id="18" w:name="_Toc283641771"/>
      <w:r w:rsidRPr="00D4608A">
        <w:lastRenderedPageBreak/>
        <w:t>Caracterización y proyección de la disponibilidad</w:t>
      </w:r>
      <w:bookmarkEnd w:id="18"/>
    </w:p>
    <w:p w:rsidR="00AD76AD" w:rsidRDefault="00AD76AD" w:rsidP="00AD76AD">
      <w:pPr>
        <w:rPr>
          <w:rFonts w:cs="Arial"/>
          <w:sz w:val="20"/>
          <w:lang w:val="es-ES_tradnl"/>
        </w:rPr>
      </w:pPr>
      <w:r w:rsidRPr="00391B54">
        <w:rPr>
          <w:sz w:val="20"/>
        </w:rPr>
        <w:t xml:space="preserve">La disponibilidad media anual, con datos del periodo 1996–2008, resulta contrastante con lo reportado en el Diario Oficial de la Federación (28 de agosto de 2009). </w:t>
      </w:r>
      <w:r w:rsidRPr="00391B54">
        <w:rPr>
          <w:rFonts w:cs="Arial"/>
          <w:sz w:val="20"/>
          <w:lang w:val="es-ES_tradnl"/>
        </w:rPr>
        <w:t xml:space="preserve">Conforme a los resultados, no existe volumen disponible para otorgar nuevas concesiones en los acuíferos Huamantla y Libres-Oriental, mientras que para el acuífero Perote-Zalayeta si existe disponibilidad de aguas subterráneas para nuevas concesiones. </w:t>
      </w:r>
    </w:p>
    <w:tbl>
      <w:tblPr>
        <w:tblW w:w="0" w:type="auto"/>
        <w:tblBorders>
          <w:top w:val="single" w:sz="12" w:space="0" w:color="008000"/>
          <w:bottom w:val="single" w:sz="12" w:space="0" w:color="008000"/>
        </w:tblBorders>
        <w:tblLook w:val="04A0"/>
      </w:tblPr>
      <w:tblGrid>
        <w:gridCol w:w="1965"/>
        <w:gridCol w:w="1965"/>
        <w:gridCol w:w="1966"/>
        <w:gridCol w:w="1966"/>
        <w:gridCol w:w="1966"/>
      </w:tblGrid>
      <w:tr w:rsidR="00AA0DDA" w:rsidRPr="00AA0DDA" w:rsidTr="00767F8D">
        <w:tc>
          <w:tcPr>
            <w:tcW w:w="1965" w:type="dxa"/>
            <w:vMerge w:val="restart"/>
            <w:tcBorders>
              <w:top w:val="single" w:sz="12" w:space="0" w:color="008000"/>
              <w:bottom w:val="single" w:sz="6" w:space="0" w:color="008000"/>
            </w:tcBorders>
            <w:shd w:val="clear" w:color="auto" w:fill="auto"/>
            <w:vAlign w:val="center"/>
          </w:tcPr>
          <w:p w:rsidR="00AA0DDA" w:rsidRPr="00AA0DDA" w:rsidRDefault="00AA0DDA" w:rsidP="00AA0DDA">
            <w:pPr>
              <w:spacing w:before="20" w:after="20" w:line="240" w:lineRule="auto"/>
              <w:ind w:firstLine="0"/>
              <w:jc w:val="center"/>
              <w:rPr>
                <w:rFonts w:cs="Arial"/>
                <w:sz w:val="18"/>
                <w:szCs w:val="18"/>
                <w:lang w:val="es-ES_tradnl"/>
              </w:rPr>
            </w:pPr>
            <w:r w:rsidRPr="00AA0DDA">
              <w:rPr>
                <w:rFonts w:cs="Arial"/>
                <w:sz w:val="18"/>
                <w:szCs w:val="18"/>
                <w:lang w:val="es-ES_tradnl"/>
              </w:rPr>
              <w:t>Acuífero</w:t>
            </w:r>
          </w:p>
        </w:tc>
        <w:tc>
          <w:tcPr>
            <w:tcW w:w="1965" w:type="dxa"/>
            <w:tcBorders>
              <w:top w:val="single" w:sz="12" w:space="0" w:color="008000"/>
              <w:bottom w:val="single" w:sz="6" w:space="0" w:color="008000"/>
            </w:tcBorders>
            <w:shd w:val="clear" w:color="auto" w:fill="auto"/>
            <w:vAlign w:val="center"/>
          </w:tcPr>
          <w:p w:rsidR="00AA0DDA" w:rsidRPr="00AA0DDA" w:rsidRDefault="00AA0DDA" w:rsidP="00AA0DDA">
            <w:pPr>
              <w:spacing w:before="20" w:after="20" w:line="240" w:lineRule="auto"/>
              <w:ind w:firstLine="0"/>
              <w:jc w:val="center"/>
              <w:rPr>
                <w:rFonts w:cs="Arial"/>
                <w:sz w:val="18"/>
                <w:szCs w:val="18"/>
                <w:lang w:val="es-ES_tradnl"/>
              </w:rPr>
            </w:pPr>
            <w:r w:rsidRPr="00AA0DDA">
              <w:rPr>
                <w:rFonts w:cs="Arial"/>
                <w:sz w:val="18"/>
                <w:szCs w:val="18"/>
                <w:lang w:val="es-ES_tradnl"/>
              </w:rPr>
              <w:t>Recarga total media anual</w:t>
            </w:r>
            <w:r>
              <w:rPr>
                <w:rFonts w:cs="Arial"/>
                <w:sz w:val="18"/>
                <w:szCs w:val="18"/>
                <w:lang w:val="es-ES_tradnl"/>
              </w:rPr>
              <w:t xml:space="preserve"> </w:t>
            </w:r>
            <w:r w:rsidRPr="00AA0DDA">
              <w:rPr>
                <w:rFonts w:cs="Arial"/>
                <w:sz w:val="18"/>
                <w:szCs w:val="18"/>
                <w:lang w:val="es-ES_tradnl"/>
              </w:rPr>
              <w:t>(</w:t>
            </w:r>
            <w:proofErr w:type="spellStart"/>
            <w:r w:rsidRPr="00AA0DDA">
              <w:rPr>
                <w:rFonts w:cs="Arial"/>
                <w:sz w:val="18"/>
                <w:szCs w:val="18"/>
                <w:lang w:val="es-ES_tradnl"/>
              </w:rPr>
              <w:t>Rt</w:t>
            </w:r>
            <w:proofErr w:type="spellEnd"/>
            <w:r w:rsidRPr="00AA0DDA">
              <w:rPr>
                <w:rFonts w:cs="Arial"/>
                <w:sz w:val="18"/>
                <w:szCs w:val="18"/>
                <w:lang w:val="es-ES_tradnl"/>
              </w:rPr>
              <w:t>)</w:t>
            </w:r>
          </w:p>
        </w:tc>
        <w:tc>
          <w:tcPr>
            <w:tcW w:w="1966" w:type="dxa"/>
            <w:tcBorders>
              <w:top w:val="single" w:sz="12" w:space="0" w:color="008000"/>
              <w:bottom w:val="single" w:sz="6" w:space="0" w:color="008000"/>
            </w:tcBorders>
            <w:shd w:val="clear" w:color="auto" w:fill="auto"/>
            <w:vAlign w:val="center"/>
          </w:tcPr>
          <w:p w:rsidR="00AA0DDA" w:rsidRPr="00AA0DDA" w:rsidRDefault="00AA0DDA" w:rsidP="00AA0DDA">
            <w:pPr>
              <w:spacing w:before="20" w:after="20" w:line="240" w:lineRule="auto"/>
              <w:ind w:firstLine="0"/>
              <w:jc w:val="center"/>
              <w:rPr>
                <w:rFonts w:cs="Arial"/>
                <w:sz w:val="18"/>
                <w:szCs w:val="18"/>
                <w:lang w:val="es-ES_tradnl"/>
              </w:rPr>
            </w:pPr>
            <w:r w:rsidRPr="00AA0DDA">
              <w:rPr>
                <w:rFonts w:cs="Arial"/>
                <w:sz w:val="18"/>
                <w:szCs w:val="18"/>
                <w:lang w:val="es-ES_tradnl"/>
              </w:rPr>
              <w:t>Descarga natural comprometida</w:t>
            </w:r>
            <w:r>
              <w:rPr>
                <w:rFonts w:cs="Arial"/>
                <w:sz w:val="18"/>
                <w:szCs w:val="18"/>
                <w:lang w:val="es-ES_tradnl"/>
              </w:rPr>
              <w:t xml:space="preserve"> </w:t>
            </w:r>
            <w:r w:rsidRPr="00AA0DDA">
              <w:rPr>
                <w:rFonts w:cs="Arial"/>
                <w:sz w:val="18"/>
                <w:szCs w:val="18"/>
                <w:lang w:val="es-ES_tradnl"/>
              </w:rPr>
              <w:t>(DNCOM)</w:t>
            </w:r>
          </w:p>
        </w:tc>
        <w:tc>
          <w:tcPr>
            <w:tcW w:w="1966" w:type="dxa"/>
            <w:tcBorders>
              <w:top w:val="single" w:sz="12" w:space="0" w:color="008000"/>
              <w:bottom w:val="single" w:sz="6" w:space="0" w:color="008000"/>
            </w:tcBorders>
            <w:shd w:val="clear" w:color="auto" w:fill="auto"/>
            <w:vAlign w:val="center"/>
          </w:tcPr>
          <w:p w:rsidR="00AA0DDA" w:rsidRPr="00AA0DDA" w:rsidRDefault="00AA0DDA" w:rsidP="00AA0DDA">
            <w:pPr>
              <w:spacing w:before="20" w:after="20" w:line="240" w:lineRule="auto"/>
              <w:ind w:firstLine="0"/>
              <w:jc w:val="center"/>
              <w:rPr>
                <w:rFonts w:cs="Arial"/>
                <w:sz w:val="18"/>
                <w:szCs w:val="18"/>
                <w:lang w:val="es-ES_tradnl"/>
              </w:rPr>
            </w:pPr>
            <w:r w:rsidRPr="00AA0DDA">
              <w:rPr>
                <w:rFonts w:cs="Arial"/>
                <w:sz w:val="18"/>
                <w:szCs w:val="18"/>
                <w:lang w:val="es-ES_tradnl"/>
              </w:rPr>
              <w:t>Volumen concesionado* (VCAS)</w:t>
            </w:r>
          </w:p>
        </w:tc>
        <w:tc>
          <w:tcPr>
            <w:tcW w:w="1966" w:type="dxa"/>
            <w:tcBorders>
              <w:top w:val="single" w:sz="12" w:space="0" w:color="008000"/>
              <w:bottom w:val="single" w:sz="6" w:space="0" w:color="008000"/>
            </w:tcBorders>
            <w:shd w:val="clear" w:color="auto" w:fill="auto"/>
            <w:vAlign w:val="center"/>
          </w:tcPr>
          <w:p w:rsidR="00AA0DDA" w:rsidRPr="00AA0DDA" w:rsidRDefault="00AA0DDA" w:rsidP="00AA0DDA">
            <w:pPr>
              <w:spacing w:before="20" w:after="20" w:line="240" w:lineRule="auto"/>
              <w:ind w:firstLine="0"/>
              <w:jc w:val="center"/>
              <w:rPr>
                <w:rFonts w:cs="Arial"/>
                <w:sz w:val="18"/>
                <w:szCs w:val="18"/>
                <w:lang w:val="es-ES_tradnl"/>
              </w:rPr>
            </w:pPr>
            <w:r w:rsidRPr="00AA0DDA">
              <w:rPr>
                <w:rFonts w:cs="Arial"/>
                <w:sz w:val="18"/>
                <w:szCs w:val="18"/>
                <w:lang w:val="es-ES_tradnl"/>
              </w:rPr>
              <w:t>Disponibilidad media anual (DAS)</w:t>
            </w:r>
          </w:p>
        </w:tc>
      </w:tr>
      <w:tr w:rsidR="00AA0DDA" w:rsidRPr="00AA0DDA" w:rsidTr="00767F8D">
        <w:tc>
          <w:tcPr>
            <w:tcW w:w="1965" w:type="dxa"/>
            <w:vMerge/>
            <w:tcBorders>
              <w:bottom w:val="single" w:sz="4" w:space="0" w:color="76923C"/>
            </w:tcBorders>
            <w:shd w:val="clear" w:color="auto" w:fill="auto"/>
          </w:tcPr>
          <w:p w:rsidR="00AA0DDA" w:rsidRPr="00AA0DDA" w:rsidRDefault="00AA0DDA" w:rsidP="00AA0DDA">
            <w:pPr>
              <w:spacing w:before="20" w:after="20" w:line="240" w:lineRule="auto"/>
              <w:ind w:firstLine="0"/>
              <w:rPr>
                <w:rFonts w:cs="Arial"/>
                <w:sz w:val="18"/>
                <w:szCs w:val="18"/>
                <w:lang w:val="es-ES_tradnl"/>
              </w:rPr>
            </w:pPr>
          </w:p>
        </w:tc>
        <w:tc>
          <w:tcPr>
            <w:tcW w:w="7863" w:type="dxa"/>
            <w:gridSpan w:val="4"/>
            <w:tcBorders>
              <w:bottom w:val="single" w:sz="4" w:space="0" w:color="76923C"/>
            </w:tcBorders>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bCs/>
                <w:sz w:val="18"/>
                <w:szCs w:val="18"/>
                <w:lang w:val="es-ES_tradnl"/>
              </w:rPr>
              <w:t>m³/año</w:t>
            </w:r>
          </w:p>
        </w:tc>
      </w:tr>
      <w:tr w:rsidR="00AA0DDA" w:rsidRPr="00AA0DDA" w:rsidTr="00767F8D">
        <w:tc>
          <w:tcPr>
            <w:tcW w:w="1965" w:type="dxa"/>
            <w:tcBorders>
              <w:top w:val="single" w:sz="4" w:space="0" w:color="76923C"/>
            </w:tcBorders>
            <w:shd w:val="clear" w:color="auto" w:fill="auto"/>
          </w:tcPr>
          <w:p w:rsidR="00AA0DDA" w:rsidRPr="00AA0DDA" w:rsidRDefault="00AA0DDA" w:rsidP="00AA0DDA">
            <w:pPr>
              <w:spacing w:before="20" w:after="20" w:line="240" w:lineRule="auto"/>
              <w:ind w:firstLine="0"/>
              <w:rPr>
                <w:rFonts w:cs="Arial"/>
                <w:sz w:val="18"/>
                <w:szCs w:val="18"/>
                <w:lang w:val="es-ES_tradnl"/>
              </w:rPr>
            </w:pPr>
            <w:r w:rsidRPr="00AA0DDA">
              <w:rPr>
                <w:rFonts w:cs="Arial"/>
                <w:sz w:val="18"/>
                <w:szCs w:val="18"/>
                <w:lang w:val="es-ES_tradnl"/>
              </w:rPr>
              <w:t>Huamantla</w:t>
            </w:r>
          </w:p>
        </w:tc>
        <w:tc>
          <w:tcPr>
            <w:tcW w:w="1965" w:type="dxa"/>
            <w:tcBorders>
              <w:top w:val="single" w:sz="4" w:space="0" w:color="76923C"/>
            </w:tcBorders>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sz w:val="18"/>
                <w:szCs w:val="18"/>
                <w:lang w:val="es-ES_tradnl"/>
              </w:rPr>
              <w:t>64,300,000</w:t>
            </w:r>
          </w:p>
        </w:tc>
        <w:tc>
          <w:tcPr>
            <w:tcW w:w="1966" w:type="dxa"/>
            <w:tcBorders>
              <w:top w:val="single" w:sz="4" w:space="0" w:color="76923C"/>
            </w:tcBorders>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sz w:val="18"/>
                <w:szCs w:val="18"/>
                <w:lang w:val="es-ES_tradnl"/>
              </w:rPr>
              <w:t>13,600,000</w:t>
            </w:r>
          </w:p>
        </w:tc>
        <w:tc>
          <w:tcPr>
            <w:tcW w:w="1966" w:type="dxa"/>
            <w:tcBorders>
              <w:top w:val="single" w:sz="4" w:space="0" w:color="76923C"/>
            </w:tcBorders>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sz w:val="18"/>
                <w:szCs w:val="18"/>
                <w:lang w:val="es-ES_tradnl"/>
              </w:rPr>
              <w:t>53,401,466</w:t>
            </w:r>
          </w:p>
        </w:tc>
        <w:tc>
          <w:tcPr>
            <w:tcW w:w="1966" w:type="dxa"/>
            <w:tcBorders>
              <w:top w:val="single" w:sz="4" w:space="0" w:color="76923C"/>
            </w:tcBorders>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sz w:val="18"/>
                <w:szCs w:val="18"/>
                <w:lang w:val="es-ES_tradnl"/>
              </w:rPr>
              <w:t>-2,701,466</w:t>
            </w:r>
          </w:p>
        </w:tc>
      </w:tr>
      <w:tr w:rsidR="00AA0DDA" w:rsidRPr="00AA0DDA" w:rsidTr="00767F8D">
        <w:tc>
          <w:tcPr>
            <w:tcW w:w="1965" w:type="dxa"/>
            <w:shd w:val="clear" w:color="auto" w:fill="auto"/>
          </w:tcPr>
          <w:p w:rsidR="00AA0DDA" w:rsidRPr="00AA0DDA" w:rsidRDefault="00AA0DDA" w:rsidP="00AA0DDA">
            <w:pPr>
              <w:spacing w:before="20" w:after="20" w:line="240" w:lineRule="auto"/>
              <w:ind w:firstLine="0"/>
              <w:rPr>
                <w:rFonts w:cs="Arial"/>
                <w:sz w:val="18"/>
                <w:szCs w:val="18"/>
                <w:lang w:val="es-ES_tradnl"/>
              </w:rPr>
            </w:pPr>
            <w:r w:rsidRPr="00AA0DDA">
              <w:rPr>
                <w:rFonts w:cs="Arial"/>
                <w:sz w:val="18"/>
                <w:szCs w:val="18"/>
                <w:lang w:val="es-ES_tradnl"/>
              </w:rPr>
              <w:t>Libres-Oriental</w:t>
            </w:r>
          </w:p>
        </w:tc>
        <w:tc>
          <w:tcPr>
            <w:tcW w:w="1965" w:type="dxa"/>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cs="Arial"/>
                <w:sz w:val="18"/>
                <w:szCs w:val="18"/>
                <w:lang w:val="es-ES_tradnl"/>
              </w:rPr>
              <w:t>306,300,000</w:t>
            </w:r>
          </w:p>
        </w:tc>
        <w:tc>
          <w:tcPr>
            <w:tcW w:w="1966" w:type="dxa"/>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cs="Arial"/>
                <w:sz w:val="18"/>
                <w:szCs w:val="18"/>
                <w:lang w:val="es-ES_tradnl"/>
              </w:rPr>
              <w:t>152,800,000</w:t>
            </w:r>
          </w:p>
        </w:tc>
        <w:tc>
          <w:tcPr>
            <w:tcW w:w="1966" w:type="dxa"/>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cs="Arial"/>
                <w:sz w:val="18"/>
                <w:szCs w:val="18"/>
                <w:lang w:val="es-ES_tradnl"/>
              </w:rPr>
              <w:t>171,637,511</w:t>
            </w:r>
          </w:p>
        </w:tc>
        <w:tc>
          <w:tcPr>
            <w:tcW w:w="1966" w:type="dxa"/>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cs="Arial"/>
                <w:sz w:val="18"/>
                <w:szCs w:val="18"/>
                <w:lang w:val="es-ES_tradnl"/>
              </w:rPr>
              <w:t>-18,137,511</w:t>
            </w:r>
          </w:p>
        </w:tc>
      </w:tr>
      <w:tr w:rsidR="00AA0DDA" w:rsidRPr="00AA0DDA" w:rsidTr="00767F8D">
        <w:tc>
          <w:tcPr>
            <w:tcW w:w="1965" w:type="dxa"/>
            <w:shd w:val="clear" w:color="auto" w:fill="auto"/>
          </w:tcPr>
          <w:p w:rsidR="00AA0DDA" w:rsidRPr="00AA0DDA" w:rsidRDefault="00AA0DDA" w:rsidP="00AA0DDA">
            <w:pPr>
              <w:spacing w:before="20" w:after="20" w:line="240" w:lineRule="auto"/>
              <w:ind w:firstLine="0"/>
              <w:rPr>
                <w:rFonts w:cs="Arial"/>
                <w:sz w:val="18"/>
                <w:szCs w:val="18"/>
                <w:lang w:val="es-ES_tradnl"/>
              </w:rPr>
            </w:pPr>
            <w:r w:rsidRPr="00AA0DDA">
              <w:rPr>
                <w:rFonts w:cs="Arial"/>
                <w:sz w:val="18"/>
                <w:szCs w:val="18"/>
                <w:lang w:val="es-ES_tradnl"/>
              </w:rPr>
              <w:t>Perote-Zalayeta</w:t>
            </w:r>
          </w:p>
        </w:tc>
        <w:tc>
          <w:tcPr>
            <w:tcW w:w="1965" w:type="dxa"/>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cs="Arial"/>
                <w:sz w:val="18"/>
                <w:szCs w:val="18"/>
                <w:lang w:val="es-ES_tradnl"/>
              </w:rPr>
              <w:t>156,300,000</w:t>
            </w:r>
          </w:p>
        </w:tc>
        <w:tc>
          <w:tcPr>
            <w:tcW w:w="1966" w:type="dxa"/>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cs="Arial"/>
                <w:sz w:val="18"/>
                <w:szCs w:val="18"/>
                <w:lang w:val="es-ES_tradnl"/>
              </w:rPr>
              <w:t>74,900,000</w:t>
            </w:r>
          </w:p>
        </w:tc>
        <w:tc>
          <w:tcPr>
            <w:tcW w:w="1966" w:type="dxa"/>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cs="Arial"/>
                <w:sz w:val="18"/>
                <w:szCs w:val="18"/>
                <w:lang w:val="es-ES_tradnl"/>
              </w:rPr>
              <w:t>22,314,133</w:t>
            </w:r>
          </w:p>
        </w:tc>
        <w:tc>
          <w:tcPr>
            <w:tcW w:w="1966" w:type="dxa"/>
            <w:shd w:val="clear" w:color="auto" w:fill="auto"/>
          </w:tcPr>
          <w:p w:rsidR="00AA0DDA" w:rsidRPr="00AA0DDA" w:rsidRDefault="00AA0DDA" w:rsidP="00AA0DDA">
            <w:pPr>
              <w:spacing w:before="20" w:after="20" w:line="240" w:lineRule="auto"/>
              <w:ind w:firstLine="0"/>
              <w:jc w:val="center"/>
              <w:rPr>
                <w:rFonts w:cs="Arial"/>
                <w:sz w:val="18"/>
                <w:szCs w:val="18"/>
                <w:lang w:val="es-ES_tradnl"/>
              </w:rPr>
            </w:pPr>
            <w:r w:rsidRPr="00AA0DDA">
              <w:rPr>
                <w:rFonts w:eastAsia="Calibri" w:cs="Arial"/>
                <w:sz w:val="18"/>
                <w:szCs w:val="18"/>
                <w:lang w:val="es-ES_tradnl"/>
              </w:rPr>
              <w:t>59,085,867</w:t>
            </w:r>
          </w:p>
        </w:tc>
      </w:tr>
    </w:tbl>
    <w:p w:rsidR="00AA0DDA" w:rsidRPr="00AA0DDA" w:rsidRDefault="00AA0DDA" w:rsidP="00AD76AD">
      <w:pPr>
        <w:rPr>
          <w:rFonts w:cs="Arial"/>
          <w:sz w:val="18"/>
          <w:szCs w:val="18"/>
          <w:lang w:val="es-ES_tradnl"/>
        </w:rPr>
      </w:pPr>
      <w:r w:rsidRPr="00AA0DDA">
        <w:rPr>
          <w:rFonts w:cs="Arial"/>
          <w:sz w:val="18"/>
          <w:szCs w:val="18"/>
          <w:lang w:val="es-ES_tradnl"/>
        </w:rPr>
        <w:t>Fuente: IGH</w:t>
      </w:r>
      <w:r w:rsidR="00741F3E">
        <w:rPr>
          <w:rFonts w:cs="Arial"/>
          <w:sz w:val="18"/>
          <w:szCs w:val="18"/>
          <w:lang w:val="es-ES_tradnl"/>
        </w:rPr>
        <w:t xml:space="preserve"> </w:t>
      </w:r>
      <w:r w:rsidRPr="00AA0DDA">
        <w:rPr>
          <w:rFonts w:cs="Arial"/>
          <w:sz w:val="18"/>
          <w:szCs w:val="18"/>
          <w:lang w:val="es-ES_tradnl"/>
        </w:rPr>
        <w:t xml:space="preserve"> SC a partir de </w:t>
      </w:r>
      <w:r w:rsidR="00741F3E" w:rsidRPr="00AA0DDA">
        <w:rPr>
          <w:rFonts w:cs="Arial"/>
          <w:sz w:val="18"/>
          <w:szCs w:val="18"/>
          <w:lang w:val="es-ES_tradnl"/>
        </w:rPr>
        <w:t>*</w:t>
      </w:r>
      <w:r w:rsidRPr="00AA0DDA">
        <w:rPr>
          <w:rFonts w:cs="Arial"/>
          <w:sz w:val="18"/>
          <w:szCs w:val="18"/>
          <w:lang w:val="es-ES_tradnl"/>
        </w:rPr>
        <w:t>REPDA al 31 de marzo de 2009</w:t>
      </w:r>
      <w:r w:rsidR="00E60180">
        <w:rPr>
          <w:rFonts w:cs="Arial"/>
          <w:sz w:val="18"/>
          <w:szCs w:val="18"/>
          <w:lang w:val="es-ES_tradnl"/>
        </w:rPr>
        <w:t>.</w:t>
      </w:r>
    </w:p>
    <w:p w:rsidR="00D4608A" w:rsidRPr="0044292C" w:rsidRDefault="00D4608A" w:rsidP="00D4608A">
      <w:pPr>
        <w:pStyle w:val="Ttulo4"/>
      </w:pPr>
      <w:bookmarkStart w:id="19" w:name="_Toc283641772"/>
      <w:r w:rsidRPr="0044292C">
        <w:t>Proyección de la oferta de agua</w:t>
      </w:r>
      <w:bookmarkEnd w:id="19"/>
    </w:p>
    <w:p w:rsidR="00D4608A" w:rsidRPr="0044292C" w:rsidRDefault="00D4608A" w:rsidP="00D4608A">
      <w:pPr>
        <w:pStyle w:val="Ttulo5"/>
        <w:rPr>
          <w:sz w:val="20"/>
        </w:rPr>
      </w:pPr>
      <w:bookmarkStart w:id="20" w:name="_Toc283641773"/>
      <w:r w:rsidRPr="00245529">
        <w:rPr>
          <w:sz w:val="20"/>
        </w:rPr>
        <w:t>Escenario inercial. Oferta total de agua aprovechable</w:t>
      </w:r>
      <w:bookmarkEnd w:id="20"/>
      <w:r w:rsidRPr="0044292C">
        <w:rPr>
          <w:sz w:val="20"/>
        </w:rPr>
        <w:t xml:space="preserve"> </w:t>
      </w:r>
    </w:p>
    <w:p w:rsidR="00D4608A" w:rsidRPr="00622A9B" w:rsidRDefault="00245529" w:rsidP="00622A9B">
      <w:pPr>
        <w:outlineLvl w:val="0"/>
        <w:rPr>
          <w:sz w:val="20"/>
        </w:rPr>
      </w:pPr>
      <w:r>
        <w:rPr>
          <w:b/>
          <w:sz w:val="20"/>
        </w:rPr>
        <w:t>A</w:t>
      </w:r>
      <w:r w:rsidR="00D4608A" w:rsidRPr="0044292C">
        <w:rPr>
          <w:b/>
          <w:sz w:val="20"/>
        </w:rPr>
        <w:t>cuífero de Huamantla</w:t>
      </w:r>
      <w:r w:rsidR="000F69A1">
        <w:rPr>
          <w:b/>
          <w:sz w:val="20"/>
        </w:rPr>
        <w:t>.</w:t>
      </w:r>
      <w:r w:rsidR="00241968">
        <w:rPr>
          <w:b/>
          <w:sz w:val="20"/>
        </w:rPr>
        <w:t xml:space="preserve"> </w:t>
      </w:r>
      <w:r w:rsidR="00241968" w:rsidRPr="00622A9B">
        <w:rPr>
          <w:sz w:val="20"/>
        </w:rPr>
        <w:t xml:space="preserve">La disponibilidad </w:t>
      </w:r>
      <w:r w:rsidR="004C7864" w:rsidRPr="00622A9B">
        <w:rPr>
          <w:sz w:val="20"/>
        </w:rPr>
        <w:t xml:space="preserve">en este acuífero </w:t>
      </w:r>
      <w:r w:rsidR="00241968" w:rsidRPr="00622A9B">
        <w:rPr>
          <w:sz w:val="20"/>
        </w:rPr>
        <w:t xml:space="preserve">alcanzará una magnitud </w:t>
      </w:r>
      <w:r w:rsidR="00D4608A" w:rsidRPr="00622A9B">
        <w:rPr>
          <w:sz w:val="20"/>
        </w:rPr>
        <w:t>de 58.70 hm³</w:t>
      </w:r>
      <w:r w:rsidR="00241968" w:rsidRPr="00622A9B">
        <w:rPr>
          <w:sz w:val="20"/>
        </w:rPr>
        <w:t xml:space="preserve"> en el año 2040</w:t>
      </w:r>
      <w:r w:rsidR="00D4608A" w:rsidRPr="00622A9B">
        <w:rPr>
          <w:sz w:val="20"/>
        </w:rPr>
        <w:t>, cuando en el 2010 es de 54.68</w:t>
      </w:r>
      <w:r w:rsidR="00241968" w:rsidRPr="00622A9B">
        <w:rPr>
          <w:sz w:val="20"/>
        </w:rPr>
        <w:t xml:space="preserve"> </w:t>
      </w:r>
      <w:r w:rsidR="00241968" w:rsidRPr="00622A9B">
        <w:rPr>
          <w:b/>
          <w:sz w:val="20"/>
        </w:rPr>
        <w:t>hm³</w:t>
      </w:r>
      <w:r w:rsidRPr="00622A9B">
        <w:rPr>
          <w:sz w:val="20"/>
        </w:rPr>
        <w:t xml:space="preserve">; </w:t>
      </w:r>
      <w:r w:rsidR="00D4608A" w:rsidRPr="00622A9B">
        <w:rPr>
          <w:sz w:val="20"/>
        </w:rPr>
        <w:t xml:space="preserve">el incremento </w:t>
      </w:r>
      <w:r w:rsidR="004C7864" w:rsidRPr="00622A9B">
        <w:rPr>
          <w:sz w:val="20"/>
        </w:rPr>
        <w:t>se debe al</w:t>
      </w:r>
      <w:r w:rsidRPr="00622A9B">
        <w:rPr>
          <w:sz w:val="20"/>
        </w:rPr>
        <w:t xml:space="preserve"> aumento </w:t>
      </w:r>
      <w:r w:rsidR="00D4608A" w:rsidRPr="00622A9B">
        <w:rPr>
          <w:sz w:val="20"/>
        </w:rPr>
        <w:t xml:space="preserve">en la recarga inducida </w:t>
      </w:r>
      <w:r w:rsidR="004C7864" w:rsidRPr="00622A9B">
        <w:rPr>
          <w:sz w:val="20"/>
        </w:rPr>
        <w:t xml:space="preserve">y de agua residual tratada </w:t>
      </w:r>
      <w:r w:rsidR="00D4608A" w:rsidRPr="00622A9B">
        <w:rPr>
          <w:sz w:val="20"/>
        </w:rPr>
        <w:t xml:space="preserve">en las localidades urbanas. </w:t>
      </w:r>
      <w:r w:rsidR="00402EFA" w:rsidRPr="00622A9B">
        <w:rPr>
          <w:sz w:val="20"/>
        </w:rPr>
        <w:t xml:space="preserve">En el </w:t>
      </w:r>
      <w:r w:rsidRPr="00622A9B">
        <w:rPr>
          <w:b/>
          <w:sz w:val="20"/>
        </w:rPr>
        <w:t>Acuífero de Libres-</w:t>
      </w:r>
      <w:r w:rsidR="00D4608A" w:rsidRPr="00622A9B">
        <w:rPr>
          <w:b/>
          <w:sz w:val="20"/>
        </w:rPr>
        <w:t>Oriental</w:t>
      </w:r>
      <w:r w:rsidR="00D4608A" w:rsidRPr="00622A9B">
        <w:rPr>
          <w:sz w:val="20"/>
        </w:rPr>
        <w:t xml:space="preserve"> </w:t>
      </w:r>
      <w:r w:rsidR="00622A9B">
        <w:rPr>
          <w:sz w:val="20"/>
        </w:rPr>
        <w:t xml:space="preserve">la disponibilidad alcanzara </w:t>
      </w:r>
      <w:r w:rsidR="00D4608A" w:rsidRPr="00622A9B">
        <w:rPr>
          <w:sz w:val="20"/>
        </w:rPr>
        <w:t>un volumen total al año 2040 de 285.55 hm³, cuando en el 2010 es de 240.99,</w:t>
      </w:r>
      <w:r w:rsidR="00D4608A" w:rsidRPr="0044292C">
        <w:rPr>
          <w:sz w:val="20"/>
        </w:rPr>
        <w:t xml:space="preserve"> </w:t>
      </w:r>
      <w:r w:rsidR="00622A9B">
        <w:rPr>
          <w:sz w:val="20"/>
        </w:rPr>
        <w:t xml:space="preserve">el incremento proviene a partir de la desaparición de </w:t>
      </w:r>
      <w:r w:rsidR="00D4608A" w:rsidRPr="00622A9B">
        <w:rPr>
          <w:sz w:val="20"/>
        </w:rPr>
        <w:t>descarga</w:t>
      </w:r>
      <w:r w:rsidR="00622A9B">
        <w:rPr>
          <w:sz w:val="20"/>
        </w:rPr>
        <w:t>s</w:t>
      </w:r>
      <w:r w:rsidR="00D4608A" w:rsidRPr="00622A9B">
        <w:rPr>
          <w:sz w:val="20"/>
        </w:rPr>
        <w:t xml:space="preserve"> por evapotranspiración al profundizarse el nivel estático por debajo de las zonas lagunares </w:t>
      </w:r>
      <w:r w:rsidRPr="00622A9B">
        <w:rPr>
          <w:sz w:val="20"/>
        </w:rPr>
        <w:t>(</w:t>
      </w:r>
      <w:r w:rsidR="00622A9B">
        <w:rPr>
          <w:sz w:val="20"/>
        </w:rPr>
        <w:t xml:space="preserve">el </w:t>
      </w:r>
      <w:r w:rsidR="00D4608A" w:rsidRPr="00622A9B">
        <w:rPr>
          <w:sz w:val="20"/>
        </w:rPr>
        <w:t>aumento es a costa de la pérdida gradual de ecosistemas lagunares, hasta alcanzar la pérdida total en el 2040</w:t>
      </w:r>
      <w:r w:rsidRPr="00622A9B">
        <w:rPr>
          <w:sz w:val="20"/>
        </w:rPr>
        <w:t>)</w:t>
      </w:r>
      <w:r w:rsidR="00D4608A" w:rsidRPr="00622A9B">
        <w:rPr>
          <w:sz w:val="20"/>
        </w:rPr>
        <w:t>, por el incremento en la recarga inducida en las localidades urbanas y en el incremento del agua residual tratada.</w:t>
      </w:r>
      <w:r w:rsidR="00402EFA" w:rsidRPr="00622A9B">
        <w:rPr>
          <w:sz w:val="20"/>
        </w:rPr>
        <w:t xml:space="preserve"> Por </w:t>
      </w:r>
      <w:r w:rsidR="004C7864" w:rsidRPr="00622A9B">
        <w:rPr>
          <w:sz w:val="20"/>
        </w:rPr>
        <w:t>último</w:t>
      </w:r>
      <w:r w:rsidR="00622A9B">
        <w:rPr>
          <w:sz w:val="20"/>
        </w:rPr>
        <w:t xml:space="preserve">, el </w:t>
      </w:r>
      <w:r w:rsidRPr="00622A9B">
        <w:rPr>
          <w:b/>
          <w:sz w:val="20"/>
        </w:rPr>
        <w:t>Acuífero</w:t>
      </w:r>
      <w:r w:rsidR="00D4608A" w:rsidRPr="00622A9B">
        <w:rPr>
          <w:b/>
          <w:sz w:val="20"/>
        </w:rPr>
        <w:t xml:space="preserve"> Perote-</w:t>
      </w:r>
      <w:proofErr w:type="spellStart"/>
      <w:r w:rsidR="00D4608A" w:rsidRPr="00622A9B">
        <w:rPr>
          <w:b/>
          <w:sz w:val="20"/>
        </w:rPr>
        <w:t>Zayaleta</w:t>
      </w:r>
      <w:proofErr w:type="spellEnd"/>
      <w:r w:rsidR="00D4608A" w:rsidRPr="00622A9B">
        <w:rPr>
          <w:b/>
          <w:sz w:val="20"/>
        </w:rPr>
        <w:t xml:space="preserve"> </w:t>
      </w:r>
      <w:r w:rsidR="00622A9B" w:rsidRPr="00622A9B">
        <w:rPr>
          <w:sz w:val="20"/>
        </w:rPr>
        <w:t>alcanzar</w:t>
      </w:r>
      <w:r w:rsidR="00622A9B">
        <w:rPr>
          <w:sz w:val="20"/>
        </w:rPr>
        <w:t>á</w:t>
      </w:r>
      <w:r w:rsidR="00622A9B" w:rsidRPr="00622A9B">
        <w:rPr>
          <w:sz w:val="20"/>
        </w:rPr>
        <w:t xml:space="preserve"> una disponibilidad</w:t>
      </w:r>
      <w:r w:rsidR="00622A9B">
        <w:rPr>
          <w:b/>
          <w:sz w:val="20"/>
        </w:rPr>
        <w:t xml:space="preserve"> </w:t>
      </w:r>
      <w:r w:rsidR="00D4608A" w:rsidRPr="00622A9B">
        <w:rPr>
          <w:sz w:val="20"/>
        </w:rPr>
        <w:t>total al año 2040 de 117.7 hm³</w:t>
      </w:r>
      <w:r w:rsidRPr="00622A9B">
        <w:rPr>
          <w:sz w:val="20"/>
        </w:rPr>
        <w:t>, cuando en el 2010 es de 113.2;</w:t>
      </w:r>
      <w:r w:rsidR="00622A9B">
        <w:rPr>
          <w:sz w:val="20"/>
        </w:rPr>
        <w:t xml:space="preserve"> el </w:t>
      </w:r>
      <w:r w:rsidR="00D4608A" w:rsidRPr="00622A9B">
        <w:rPr>
          <w:sz w:val="20"/>
        </w:rPr>
        <w:t xml:space="preserve">incremento </w:t>
      </w:r>
      <w:r w:rsidR="00622A9B">
        <w:rPr>
          <w:sz w:val="20"/>
        </w:rPr>
        <w:t xml:space="preserve">se presenta </w:t>
      </w:r>
      <w:r w:rsidRPr="00622A9B">
        <w:rPr>
          <w:sz w:val="20"/>
        </w:rPr>
        <w:t>por</w:t>
      </w:r>
      <w:r w:rsidR="00622A9B">
        <w:rPr>
          <w:sz w:val="20"/>
        </w:rPr>
        <w:t xml:space="preserve"> tres factores: primero, a</w:t>
      </w:r>
      <w:r w:rsidR="00D4608A" w:rsidRPr="00622A9B">
        <w:rPr>
          <w:sz w:val="20"/>
        </w:rPr>
        <w:t>l aumento de la población urbana</w:t>
      </w:r>
      <w:r w:rsidR="00622A9B">
        <w:rPr>
          <w:sz w:val="20"/>
        </w:rPr>
        <w:t xml:space="preserve">, que </w:t>
      </w:r>
      <w:r w:rsidR="00D4608A" w:rsidRPr="00622A9B">
        <w:rPr>
          <w:sz w:val="20"/>
        </w:rPr>
        <w:t xml:space="preserve">al demandar más agua potable </w:t>
      </w:r>
      <w:r w:rsidR="00622A9B">
        <w:rPr>
          <w:sz w:val="20"/>
        </w:rPr>
        <w:t xml:space="preserve">y </w:t>
      </w:r>
      <w:r w:rsidR="00D4608A" w:rsidRPr="00622A9B">
        <w:rPr>
          <w:sz w:val="20"/>
        </w:rPr>
        <w:t xml:space="preserve">mantenerse los mismos porcentajes de pérdidas físicas en las redes </w:t>
      </w:r>
      <w:r w:rsidR="00622A9B">
        <w:rPr>
          <w:sz w:val="20"/>
        </w:rPr>
        <w:t xml:space="preserve">de distribución, </w:t>
      </w:r>
      <w:r w:rsidR="00D4608A" w:rsidRPr="00622A9B">
        <w:rPr>
          <w:sz w:val="20"/>
        </w:rPr>
        <w:t>provocan una mayor recarga inducida a</w:t>
      </w:r>
      <w:r w:rsidR="00622A9B">
        <w:rPr>
          <w:sz w:val="20"/>
        </w:rPr>
        <w:t>l acuífero; segundo, al aumento de</w:t>
      </w:r>
      <w:r w:rsidR="00D4608A" w:rsidRPr="00622A9B">
        <w:rPr>
          <w:sz w:val="20"/>
        </w:rPr>
        <w:t xml:space="preserve"> la superficie riego en un 33%</w:t>
      </w:r>
      <w:r w:rsidR="00E039F1">
        <w:rPr>
          <w:sz w:val="20"/>
        </w:rPr>
        <w:t xml:space="preserve">, el cual </w:t>
      </w:r>
      <w:r w:rsidR="00D4608A" w:rsidRPr="00622A9B">
        <w:rPr>
          <w:sz w:val="20"/>
        </w:rPr>
        <w:t xml:space="preserve"> provoca que los retornos de riego al acuífero aumenten en la misma proporción; finalmente, al incrementarse la población urbana y mantenerse la misma cobertura de alcantarillado </w:t>
      </w:r>
      <w:r w:rsidR="008A2FDE">
        <w:rPr>
          <w:sz w:val="20"/>
        </w:rPr>
        <w:t xml:space="preserve">se </w:t>
      </w:r>
      <w:r w:rsidR="00D4608A" w:rsidRPr="00622A9B">
        <w:rPr>
          <w:sz w:val="20"/>
        </w:rPr>
        <w:t>ocasiona que se incremente el agua residual tratada.</w:t>
      </w:r>
    </w:p>
    <w:p w:rsidR="00D4608A" w:rsidRPr="0044292C" w:rsidRDefault="00D4608A" w:rsidP="00D4608A">
      <w:pPr>
        <w:pStyle w:val="Ttulo5"/>
        <w:rPr>
          <w:sz w:val="20"/>
        </w:rPr>
      </w:pPr>
      <w:bookmarkStart w:id="21" w:name="_Toc283641774"/>
      <w:r w:rsidRPr="00245529">
        <w:rPr>
          <w:sz w:val="20"/>
        </w:rPr>
        <w:t>Escenario de máxima tecnificación (sustentable). Oferta total de agua aprovechable</w:t>
      </w:r>
      <w:bookmarkEnd w:id="21"/>
    </w:p>
    <w:p w:rsidR="00D4608A" w:rsidRPr="008A2FDE" w:rsidRDefault="00F558D2" w:rsidP="00D4608A">
      <w:pPr>
        <w:outlineLvl w:val="0"/>
        <w:rPr>
          <w:sz w:val="20"/>
        </w:rPr>
      </w:pPr>
      <w:r w:rsidRPr="008A2FDE">
        <w:rPr>
          <w:b/>
          <w:sz w:val="20"/>
        </w:rPr>
        <w:t>A</w:t>
      </w:r>
      <w:r w:rsidR="00D4608A" w:rsidRPr="008A2FDE">
        <w:rPr>
          <w:b/>
          <w:sz w:val="20"/>
        </w:rPr>
        <w:t xml:space="preserve">cuífero de Huamantla, </w:t>
      </w:r>
      <w:r w:rsidR="00356432">
        <w:rPr>
          <w:sz w:val="20"/>
        </w:rPr>
        <w:t xml:space="preserve">la disponibilidad anual al </w:t>
      </w:r>
      <w:r w:rsidR="00D4608A" w:rsidRPr="008A2FDE">
        <w:rPr>
          <w:sz w:val="20"/>
        </w:rPr>
        <w:t xml:space="preserve">año 2040 </w:t>
      </w:r>
      <w:r w:rsidR="00356432">
        <w:rPr>
          <w:sz w:val="20"/>
        </w:rPr>
        <w:t>alcanzará los</w:t>
      </w:r>
      <w:r w:rsidR="00D4608A" w:rsidRPr="008A2FDE">
        <w:rPr>
          <w:sz w:val="20"/>
        </w:rPr>
        <w:t xml:space="preserve"> 57.62 hm³, cuando en el 2</w:t>
      </w:r>
      <w:r w:rsidR="00356432">
        <w:rPr>
          <w:sz w:val="20"/>
        </w:rPr>
        <w:t>010 es de 54.43;</w:t>
      </w:r>
      <w:r w:rsidR="00D4608A" w:rsidRPr="008A2FDE">
        <w:rPr>
          <w:sz w:val="20"/>
        </w:rPr>
        <w:t xml:space="preserve"> el incremento se debe básicamente al aumento en el agua residual recolectada y posteriormente tratada.</w:t>
      </w:r>
      <w:r w:rsidR="00402EFA" w:rsidRPr="008A2FDE">
        <w:rPr>
          <w:sz w:val="20"/>
        </w:rPr>
        <w:t xml:space="preserve"> En el </w:t>
      </w:r>
      <w:r w:rsidRPr="008A2FDE">
        <w:rPr>
          <w:b/>
          <w:sz w:val="20"/>
        </w:rPr>
        <w:t>A</w:t>
      </w:r>
      <w:r w:rsidR="00D4608A" w:rsidRPr="008A2FDE">
        <w:rPr>
          <w:b/>
          <w:sz w:val="20"/>
        </w:rPr>
        <w:t>cuífero Libres – Oriental</w:t>
      </w:r>
      <w:r w:rsidR="00D4608A" w:rsidRPr="008A2FDE">
        <w:rPr>
          <w:sz w:val="20"/>
        </w:rPr>
        <w:t xml:space="preserve"> </w:t>
      </w:r>
      <w:r w:rsidR="00356432">
        <w:rPr>
          <w:sz w:val="20"/>
        </w:rPr>
        <w:t xml:space="preserve">la disponibilidad anual al </w:t>
      </w:r>
      <w:r w:rsidR="00D4608A" w:rsidRPr="008A2FDE">
        <w:rPr>
          <w:sz w:val="20"/>
        </w:rPr>
        <w:t xml:space="preserve">año 2040 </w:t>
      </w:r>
      <w:r w:rsidR="00356432">
        <w:rPr>
          <w:sz w:val="20"/>
        </w:rPr>
        <w:t>será de</w:t>
      </w:r>
      <w:r w:rsidR="00D4608A" w:rsidRPr="008A2FDE">
        <w:rPr>
          <w:sz w:val="20"/>
        </w:rPr>
        <w:t xml:space="preserve"> 221.46 hm³, cuando en el 2010 es de entre 236 y 241</w:t>
      </w:r>
      <w:r w:rsidR="00356432">
        <w:rPr>
          <w:sz w:val="20"/>
        </w:rPr>
        <w:t xml:space="preserve"> hm</w:t>
      </w:r>
      <w:r w:rsidR="00356432">
        <w:rPr>
          <w:sz w:val="20"/>
          <w:vertAlign w:val="superscript"/>
        </w:rPr>
        <w:t>3</w:t>
      </w:r>
      <w:r w:rsidR="00356432">
        <w:rPr>
          <w:sz w:val="20"/>
        </w:rPr>
        <w:t>;</w:t>
      </w:r>
      <w:r w:rsidR="00D4608A" w:rsidRPr="008A2FDE">
        <w:rPr>
          <w:sz w:val="20"/>
        </w:rPr>
        <w:t xml:space="preserve"> el decremento se debe básicamente a la descarga por evapotranspiración. </w:t>
      </w:r>
      <w:r w:rsidR="00402EFA" w:rsidRPr="008A2FDE">
        <w:rPr>
          <w:sz w:val="20"/>
        </w:rPr>
        <w:t xml:space="preserve">Por último, para el </w:t>
      </w:r>
      <w:r w:rsidRPr="008A2FDE">
        <w:rPr>
          <w:b/>
          <w:sz w:val="20"/>
        </w:rPr>
        <w:t>A</w:t>
      </w:r>
      <w:r w:rsidR="00D4608A" w:rsidRPr="008A2FDE">
        <w:rPr>
          <w:b/>
          <w:sz w:val="20"/>
        </w:rPr>
        <w:t>cuífero Perote-</w:t>
      </w:r>
      <w:proofErr w:type="spellStart"/>
      <w:r w:rsidR="00D4608A" w:rsidRPr="008A2FDE">
        <w:rPr>
          <w:b/>
          <w:sz w:val="20"/>
        </w:rPr>
        <w:t>Zayaleta</w:t>
      </w:r>
      <w:proofErr w:type="spellEnd"/>
      <w:r w:rsidR="00D4608A" w:rsidRPr="008A2FDE">
        <w:rPr>
          <w:b/>
          <w:sz w:val="20"/>
        </w:rPr>
        <w:t xml:space="preserve">, </w:t>
      </w:r>
      <w:r w:rsidR="00D4608A" w:rsidRPr="008A2FDE">
        <w:rPr>
          <w:sz w:val="20"/>
        </w:rPr>
        <w:t xml:space="preserve">se </w:t>
      </w:r>
      <w:r w:rsidR="00356432">
        <w:rPr>
          <w:sz w:val="20"/>
        </w:rPr>
        <w:t xml:space="preserve">tendrá una disponibilidad anual </w:t>
      </w:r>
      <w:r w:rsidR="00D4608A" w:rsidRPr="008A2FDE">
        <w:rPr>
          <w:sz w:val="20"/>
        </w:rPr>
        <w:t>al año 2040 de 117.5 hm³</w:t>
      </w:r>
      <w:r w:rsidR="00356432">
        <w:rPr>
          <w:sz w:val="20"/>
        </w:rPr>
        <w:t xml:space="preserve">, cuando en el 2010 es de 113.2; </w:t>
      </w:r>
      <w:r w:rsidR="00D4608A" w:rsidRPr="008A2FDE">
        <w:rPr>
          <w:sz w:val="20"/>
        </w:rPr>
        <w:t xml:space="preserve">el incremento </w:t>
      </w:r>
      <w:r w:rsidR="00356432">
        <w:rPr>
          <w:sz w:val="20"/>
        </w:rPr>
        <w:t xml:space="preserve">es producto de dos </w:t>
      </w:r>
      <w:r w:rsidR="00D4608A" w:rsidRPr="008A2FDE">
        <w:rPr>
          <w:sz w:val="20"/>
        </w:rPr>
        <w:t xml:space="preserve">factores; al aumentar la superficie </w:t>
      </w:r>
      <w:r w:rsidR="00356432">
        <w:rPr>
          <w:sz w:val="20"/>
        </w:rPr>
        <w:t xml:space="preserve">de riego en un 33%, se </w:t>
      </w:r>
      <w:r w:rsidR="00D4608A" w:rsidRPr="008A2FDE">
        <w:rPr>
          <w:sz w:val="20"/>
        </w:rPr>
        <w:t xml:space="preserve">provoca que los retornos de riego al acuífero aumenten en la misma proporción; </w:t>
      </w:r>
      <w:r w:rsidR="00356432">
        <w:rPr>
          <w:sz w:val="20"/>
        </w:rPr>
        <w:t>y</w:t>
      </w:r>
      <w:r w:rsidR="00D4608A" w:rsidRPr="008A2FDE">
        <w:rPr>
          <w:sz w:val="20"/>
        </w:rPr>
        <w:t>, al incrementarse la población urbana e incrementarse la cobertura de alcantarillado se incremente el agua residual tratada.</w:t>
      </w:r>
    </w:p>
    <w:p w:rsidR="000268A4" w:rsidRDefault="007F2076" w:rsidP="00BA3FE3">
      <w:pPr>
        <w:pStyle w:val="Ttulo1"/>
      </w:pPr>
      <w:bookmarkStart w:id="22" w:name="_Toc283641775"/>
      <w:r>
        <w:lastRenderedPageBreak/>
        <w:t>Modelo de Simulación de Flujo</w:t>
      </w:r>
      <w:bookmarkEnd w:id="22"/>
      <w:r w:rsidR="00CD023E">
        <w:t xml:space="preserve"> </w:t>
      </w:r>
    </w:p>
    <w:p w:rsidR="004850D5" w:rsidRPr="007026A9" w:rsidRDefault="004850D5" w:rsidP="004850D5">
      <w:pPr>
        <w:rPr>
          <w:sz w:val="20"/>
        </w:rPr>
      </w:pPr>
      <w:r w:rsidRPr="007026A9">
        <w:rPr>
          <w:sz w:val="20"/>
        </w:rPr>
        <w:t xml:space="preserve">Para efectos de </w:t>
      </w:r>
      <w:r w:rsidR="00EA46FF" w:rsidRPr="007026A9">
        <w:rPr>
          <w:sz w:val="20"/>
        </w:rPr>
        <w:t xml:space="preserve">modelación matemática del acuífero HLOP </w:t>
      </w:r>
      <w:r w:rsidR="004C7864" w:rsidRPr="007026A9">
        <w:rPr>
          <w:sz w:val="20"/>
        </w:rPr>
        <w:t>ante</w:t>
      </w:r>
      <w:r w:rsidR="00EA46FF" w:rsidRPr="007026A9">
        <w:rPr>
          <w:sz w:val="20"/>
        </w:rPr>
        <w:t xml:space="preserve"> diferentes alternativas de manejo, se empleo el software Visual MODFLOW versión 2.8.3. </w:t>
      </w:r>
      <w:r w:rsidR="00D50256" w:rsidRPr="007026A9">
        <w:rPr>
          <w:sz w:val="20"/>
        </w:rPr>
        <w:t xml:space="preserve">  El ambiente del acuífero se </w:t>
      </w:r>
      <w:proofErr w:type="spellStart"/>
      <w:r w:rsidR="00D50256" w:rsidRPr="007026A9">
        <w:rPr>
          <w:sz w:val="20"/>
        </w:rPr>
        <w:t>discretizó</w:t>
      </w:r>
      <w:proofErr w:type="spellEnd"/>
      <w:r w:rsidR="00D50256" w:rsidRPr="007026A9">
        <w:rPr>
          <w:sz w:val="20"/>
        </w:rPr>
        <w:t xml:space="preserve"> por medio de una malla de elementos tridimensionales que en planta presenta una geometría regular de 110 elementos en el sentido Este – Oeste y de 100 elementos en el sentido N – S, con un total de 4 capas.  La dimensión en planta de cada elemento resultó de 1 km x 1 km, mientras que el espesor de los elementos resultó variable, adecuado principalmente a la configuración topográfica del relieve, al basamento impermeable del acuífero y a estratos con distinta actividad </w:t>
      </w:r>
      <w:r w:rsidR="00F60407" w:rsidRPr="007026A9">
        <w:rPr>
          <w:sz w:val="20"/>
        </w:rPr>
        <w:t>en aprovechamiento de agua subterránea.</w:t>
      </w:r>
    </w:p>
    <w:p w:rsidR="00D4608A" w:rsidRDefault="002B2F5D" w:rsidP="007941BD">
      <w:pPr>
        <w:pStyle w:val="Ttulodendice"/>
        <w:jc w:val="center"/>
      </w:pPr>
      <w:r>
        <w:rPr>
          <w:noProof/>
          <w:lang w:eastAsia="es-MX"/>
        </w:rPr>
        <w:drawing>
          <wp:inline distT="0" distB="0" distL="0" distR="0">
            <wp:extent cx="2952750" cy="2200275"/>
            <wp:effectExtent l="19050" t="0" r="0" b="0"/>
            <wp:docPr id="7" name="Imagen 7" descr="model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odelo1"/>
                    <pic:cNvPicPr>
                      <a:picLocks noChangeAspect="1" noChangeArrowheads="1"/>
                    </pic:cNvPicPr>
                  </pic:nvPicPr>
                  <pic:blipFill>
                    <a:blip r:embed="rId23" cstate="print"/>
                    <a:srcRect/>
                    <a:stretch>
                      <a:fillRect/>
                    </a:stretch>
                  </pic:blipFill>
                  <pic:spPr bwMode="auto">
                    <a:xfrm>
                      <a:off x="0" y="0"/>
                      <a:ext cx="2952750" cy="2200275"/>
                    </a:xfrm>
                    <a:prstGeom prst="rect">
                      <a:avLst/>
                    </a:prstGeom>
                    <a:noFill/>
                    <a:ln w="9525">
                      <a:noFill/>
                      <a:miter lim="800000"/>
                      <a:headEnd/>
                      <a:tailEnd/>
                    </a:ln>
                  </pic:spPr>
                </pic:pic>
              </a:graphicData>
            </a:graphic>
          </wp:inline>
        </w:drawing>
      </w:r>
      <w:r>
        <w:rPr>
          <w:noProof/>
          <w:lang w:eastAsia="es-MX"/>
        </w:rPr>
        <w:drawing>
          <wp:inline distT="0" distB="0" distL="0" distR="0">
            <wp:extent cx="2943225" cy="2209800"/>
            <wp:effectExtent l="19050" t="0" r="9525" b="0"/>
            <wp:docPr id="8" name="Imagen 8" descr="model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odelo2"/>
                    <pic:cNvPicPr>
                      <a:picLocks noChangeAspect="1" noChangeArrowheads="1"/>
                    </pic:cNvPicPr>
                  </pic:nvPicPr>
                  <pic:blipFill>
                    <a:blip r:embed="rId24" cstate="print"/>
                    <a:srcRect/>
                    <a:stretch>
                      <a:fillRect/>
                    </a:stretch>
                  </pic:blipFill>
                  <pic:spPr bwMode="auto">
                    <a:xfrm>
                      <a:off x="0" y="0"/>
                      <a:ext cx="2943225" cy="2209800"/>
                    </a:xfrm>
                    <a:prstGeom prst="rect">
                      <a:avLst/>
                    </a:prstGeom>
                    <a:noFill/>
                    <a:ln w="9525">
                      <a:noFill/>
                      <a:miter lim="800000"/>
                      <a:headEnd/>
                      <a:tailEnd/>
                    </a:ln>
                  </pic:spPr>
                </pic:pic>
              </a:graphicData>
            </a:graphic>
          </wp:inline>
        </w:drawing>
      </w:r>
    </w:p>
    <w:p w:rsidR="00F60407" w:rsidRPr="007026A9" w:rsidRDefault="00F60407" w:rsidP="00F60407">
      <w:pPr>
        <w:rPr>
          <w:sz w:val="20"/>
        </w:rPr>
      </w:pPr>
      <w:r w:rsidRPr="007026A9">
        <w:rPr>
          <w:sz w:val="20"/>
        </w:rPr>
        <w:t xml:space="preserve">La calibración del modelo se realizó a partir de datos piezométricos que datan de los años setentas, con un total de 30 años de modelación.  </w:t>
      </w:r>
    </w:p>
    <w:p w:rsidR="00F60407" w:rsidRPr="007026A9" w:rsidRDefault="00F60407" w:rsidP="00F60407">
      <w:pPr>
        <w:rPr>
          <w:sz w:val="20"/>
        </w:rPr>
      </w:pPr>
      <w:r w:rsidRPr="007026A9">
        <w:rPr>
          <w:sz w:val="20"/>
        </w:rPr>
        <w:t xml:space="preserve">Dado que la variación piezométrica es de pocos centímetros anuales y en la zona de valle ocurren abatimientos y recuperaciones con una relación muy estrecha con el comportamiento lagunar, las áreas lagunares del Carmen y </w:t>
      </w:r>
      <w:proofErr w:type="spellStart"/>
      <w:r w:rsidRPr="007026A9">
        <w:rPr>
          <w:sz w:val="20"/>
        </w:rPr>
        <w:t>Tepeyahualco</w:t>
      </w:r>
      <w:proofErr w:type="spellEnd"/>
      <w:r w:rsidRPr="007026A9">
        <w:rPr>
          <w:sz w:val="20"/>
        </w:rPr>
        <w:t xml:space="preserve"> representan un factor notable de incertidumbre, pues carecen de datos piezométricos locales y de cualquier tipo de evaluación del comportamiento de almacenamientos o evaporación </w:t>
      </w:r>
      <w:proofErr w:type="spellStart"/>
      <w:r w:rsidRPr="007026A9">
        <w:rPr>
          <w:sz w:val="20"/>
        </w:rPr>
        <w:t>subsuperficial</w:t>
      </w:r>
      <w:proofErr w:type="spellEnd"/>
      <w:r w:rsidRPr="007026A9">
        <w:rPr>
          <w:sz w:val="20"/>
        </w:rPr>
        <w:t xml:space="preserve"> durante el estiaje u otros períodos en que éstas se secan.  Asimismo, la falta de hidrometría en las captaciones y el uso de la base de datos del REPDA como fuente más confiable para representar una cantidad más real de aprovechamientos que la del censo de 1996, conllevaron a necesarias hipótesis y supuestos para la integración del modelo.</w:t>
      </w:r>
    </w:p>
    <w:p w:rsidR="000F69A1" w:rsidRDefault="00F60407" w:rsidP="00F60407">
      <w:pPr>
        <w:rPr>
          <w:sz w:val="20"/>
        </w:rPr>
      </w:pPr>
      <w:r w:rsidRPr="007026A9">
        <w:rPr>
          <w:sz w:val="20"/>
        </w:rPr>
        <w:t xml:space="preserve">No obstante las dificultades mencionadas, el modelo dejó ver que las zonas de Huamantla y Libres Oriental descargan hacia las lagunas y que la sobreexplotación reduce gradualmente dichas descargas y tiende a permitir únicamente el flujo hacia el acuífero de Perote, </w:t>
      </w:r>
      <w:proofErr w:type="spellStart"/>
      <w:r w:rsidRPr="007026A9">
        <w:rPr>
          <w:sz w:val="20"/>
        </w:rPr>
        <w:t>subexplotado</w:t>
      </w:r>
      <w:proofErr w:type="spellEnd"/>
      <w:r w:rsidRPr="007026A9">
        <w:rPr>
          <w:sz w:val="20"/>
        </w:rPr>
        <w:t xml:space="preserve"> desde cualquier perspectiva de análisis.</w:t>
      </w:r>
      <w:r w:rsidR="000F69A1" w:rsidRPr="007026A9">
        <w:rPr>
          <w:sz w:val="20"/>
        </w:rPr>
        <w:t xml:space="preserve">  A través del modelo matemático fueron modelados distintos escenarios paramétricos, así como la alternativa de manejo integrado del acuífero.</w:t>
      </w:r>
    </w:p>
    <w:p w:rsidR="007026A9" w:rsidRDefault="007026A9" w:rsidP="00F60407">
      <w:pPr>
        <w:rPr>
          <w:sz w:val="20"/>
        </w:rPr>
      </w:pPr>
    </w:p>
    <w:p w:rsidR="007026A9" w:rsidRPr="007026A9" w:rsidRDefault="007026A9" w:rsidP="00F60407">
      <w:pPr>
        <w:rPr>
          <w:sz w:val="20"/>
        </w:rPr>
      </w:pPr>
    </w:p>
    <w:p w:rsidR="00CD023E" w:rsidRPr="000268A4" w:rsidRDefault="00CD023E" w:rsidP="00BA3FE3">
      <w:pPr>
        <w:pStyle w:val="Ttulo1"/>
      </w:pPr>
      <w:bookmarkStart w:id="23" w:name="_Toc283641776"/>
      <w:r w:rsidRPr="000268A4">
        <w:lastRenderedPageBreak/>
        <w:t>Escenarios paramétricos</w:t>
      </w:r>
      <w:bookmarkEnd w:id="23"/>
      <w:r w:rsidRPr="000268A4">
        <w:t xml:space="preserve"> </w:t>
      </w:r>
    </w:p>
    <w:p w:rsidR="00CD023E" w:rsidRPr="007026A9" w:rsidRDefault="0072064A" w:rsidP="00CD023E">
      <w:pPr>
        <w:rPr>
          <w:sz w:val="20"/>
        </w:rPr>
      </w:pPr>
      <w:r w:rsidRPr="007026A9">
        <w:rPr>
          <w:sz w:val="20"/>
        </w:rPr>
        <w:t>Se</w:t>
      </w:r>
      <w:r w:rsidR="00CD023E" w:rsidRPr="007026A9">
        <w:rPr>
          <w:sz w:val="20"/>
        </w:rPr>
        <w:t xml:space="preserve"> conciben tres principales factores por diagnosticar mediante los escenarios paramétricos:</w:t>
      </w:r>
      <w:r w:rsidR="0022688F" w:rsidRPr="007026A9">
        <w:rPr>
          <w:sz w:val="20"/>
        </w:rPr>
        <w:t xml:space="preserve"> e</w:t>
      </w:r>
      <w:r w:rsidR="00CD023E" w:rsidRPr="007026A9">
        <w:rPr>
          <w:sz w:val="20"/>
        </w:rPr>
        <w:t>l comportamiento del nivel estático ante distintas políticas de operación</w:t>
      </w:r>
      <w:r w:rsidR="000F69A1" w:rsidRPr="007026A9">
        <w:rPr>
          <w:sz w:val="20"/>
        </w:rPr>
        <w:t>,</w:t>
      </w:r>
      <w:r w:rsidR="0022688F" w:rsidRPr="007026A9">
        <w:rPr>
          <w:sz w:val="20"/>
        </w:rPr>
        <w:t xml:space="preserve"> l</w:t>
      </w:r>
      <w:r w:rsidR="00CD023E" w:rsidRPr="007026A9">
        <w:rPr>
          <w:sz w:val="20"/>
        </w:rPr>
        <w:t>a respuesta en el largo plazo ante una tasa constante de aprovechamiento</w:t>
      </w:r>
      <w:r w:rsidR="0022688F" w:rsidRPr="007026A9">
        <w:rPr>
          <w:sz w:val="20"/>
        </w:rPr>
        <w:t xml:space="preserve"> y, l</w:t>
      </w:r>
      <w:r w:rsidR="00CD023E" w:rsidRPr="007026A9">
        <w:rPr>
          <w:sz w:val="20"/>
        </w:rPr>
        <w:t>a interrelación con las lagunas y humedales (descarga hacia dichos cuerpos)</w:t>
      </w:r>
      <w:r w:rsidR="0037166F" w:rsidRPr="007026A9">
        <w:rPr>
          <w:sz w:val="20"/>
        </w:rPr>
        <w:t xml:space="preserve">. </w:t>
      </w:r>
      <w:r w:rsidRPr="007026A9">
        <w:rPr>
          <w:sz w:val="20"/>
        </w:rPr>
        <w:t>P</w:t>
      </w:r>
      <w:r w:rsidR="00CD023E" w:rsidRPr="007026A9">
        <w:rPr>
          <w:sz w:val="20"/>
        </w:rPr>
        <w:t>ara escenarios de alta eficiencia, se consideran las demandas netas de agua con menores pérdidas; en lo que se refiere a la distribución de las extracciones, se consi</w:t>
      </w:r>
      <w:r w:rsidR="0037166F" w:rsidRPr="007026A9">
        <w:rPr>
          <w:sz w:val="20"/>
        </w:rPr>
        <w:t>dera la reportada por el REPDA.</w:t>
      </w:r>
    </w:p>
    <w:p w:rsidR="0037166F" w:rsidRPr="007026A9" w:rsidRDefault="0037166F" w:rsidP="0037166F">
      <w:pPr>
        <w:rPr>
          <w:sz w:val="20"/>
        </w:rPr>
      </w:pPr>
      <w:r w:rsidRPr="007026A9">
        <w:rPr>
          <w:sz w:val="20"/>
        </w:rPr>
        <w:t xml:space="preserve">Los escenarios paramétricos considerados para la evaluación futura del comportamiento del acuífero son </w:t>
      </w:r>
      <w:r w:rsidR="000F69A1" w:rsidRPr="007026A9">
        <w:rPr>
          <w:sz w:val="20"/>
        </w:rPr>
        <w:t>seis</w:t>
      </w:r>
      <w:r w:rsidRPr="007026A9">
        <w:rPr>
          <w:sz w:val="20"/>
        </w:rPr>
        <w:t>:</w:t>
      </w:r>
      <w:r w:rsidR="000F69A1" w:rsidRPr="007026A9">
        <w:rPr>
          <w:sz w:val="20"/>
        </w:rPr>
        <w:t xml:space="preserve"> inercial; REPDA; máxima tecnificación; condiciones de equilibrio y c</w:t>
      </w:r>
      <w:r w:rsidRPr="007026A9">
        <w:rPr>
          <w:sz w:val="20"/>
        </w:rPr>
        <w:t>ondiciones iniciales y status quo</w:t>
      </w:r>
      <w:r w:rsidR="000F69A1" w:rsidRPr="007026A9">
        <w:rPr>
          <w:sz w:val="20"/>
        </w:rPr>
        <w:t>.</w:t>
      </w:r>
    </w:p>
    <w:p w:rsidR="005B6CD2" w:rsidRPr="00EA611E" w:rsidRDefault="002B2F5D" w:rsidP="005B6CD2">
      <w:pPr>
        <w:jc w:val="center"/>
        <w:rPr>
          <w:sz w:val="20"/>
        </w:rPr>
      </w:pPr>
      <w:r>
        <w:rPr>
          <w:noProof/>
          <w:sz w:val="20"/>
          <w:lang w:eastAsia="es-MX"/>
        </w:rPr>
        <w:drawing>
          <wp:inline distT="0" distB="0" distL="0" distR="0">
            <wp:extent cx="4772025" cy="3000375"/>
            <wp:effectExtent l="19050" t="0" r="9525" b="0"/>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5" cstate="print"/>
                    <a:srcRect/>
                    <a:stretch>
                      <a:fillRect/>
                    </a:stretch>
                  </pic:blipFill>
                  <pic:spPr bwMode="auto">
                    <a:xfrm>
                      <a:off x="0" y="0"/>
                      <a:ext cx="4772025" cy="3000375"/>
                    </a:xfrm>
                    <a:prstGeom prst="rect">
                      <a:avLst/>
                    </a:prstGeom>
                    <a:noFill/>
                    <a:ln w="9525">
                      <a:noFill/>
                      <a:miter lim="800000"/>
                      <a:headEnd/>
                      <a:tailEnd/>
                    </a:ln>
                  </pic:spPr>
                </pic:pic>
              </a:graphicData>
            </a:graphic>
          </wp:inline>
        </w:drawing>
      </w:r>
    </w:p>
    <w:p w:rsidR="0037166F" w:rsidRPr="00EA611E" w:rsidRDefault="0037166F" w:rsidP="0037166F">
      <w:pPr>
        <w:rPr>
          <w:sz w:val="20"/>
        </w:rPr>
      </w:pPr>
      <w:r w:rsidRPr="00EA611E">
        <w:rPr>
          <w:sz w:val="20"/>
        </w:rPr>
        <w:t>Para tasas de aprovechamiento menor o iguales a 244 hm³ (del mismo orden que el volumen concesionado), el acuífero tiende a estados estables, donde se lograría incluso una recuperación de los niveles en las áreas lagunares, con una aportación a dichos sistemas de descarga típicos de la región.</w:t>
      </w:r>
    </w:p>
    <w:p w:rsidR="0037166F" w:rsidRPr="00EA611E" w:rsidRDefault="00CD023E" w:rsidP="0037166F">
      <w:pPr>
        <w:ind w:firstLine="0"/>
        <w:rPr>
          <w:sz w:val="20"/>
        </w:rPr>
      </w:pPr>
      <w:r w:rsidRPr="00EA611E">
        <w:rPr>
          <w:sz w:val="20"/>
        </w:rPr>
        <w:t xml:space="preserve">Con excepción del escenario Status Quo, en todos los escenarios las extracciones van a la baja. Esta situación resulta favorable para fines del balance y señala una mayor facilidad para definir políticas de manejo sustentable.  </w:t>
      </w:r>
      <w:r w:rsidR="0037166F" w:rsidRPr="00EA611E">
        <w:rPr>
          <w:sz w:val="20"/>
        </w:rPr>
        <w:t>Las variaciones del costo unitario de la energía eléctrica agua en los escenarios comparativos de máxima tecnificación e inercial, no tienen diferencias relevantes.</w:t>
      </w:r>
    </w:p>
    <w:p w:rsidR="000F69A1" w:rsidRPr="00E60180" w:rsidRDefault="000F69A1" w:rsidP="00CD023E">
      <w:pPr>
        <w:rPr>
          <w:sz w:val="20"/>
        </w:rPr>
      </w:pPr>
      <w:r w:rsidRPr="00E60180">
        <w:rPr>
          <w:sz w:val="20"/>
        </w:rPr>
        <w:t>La evaluación económica deja claro que la sobreexplotación tiene una justificación aparente en el hecho de que la productividad del agua e</w:t>
      </w:r>
      <w:r w:rsidR="00E60180">
        <w:rPr>
          <w:sz w:val="20"/>
        </w:rPr>
        <w:t>s positiva en la zona de Libres</w:t>
      </w:r>
      <w:r w:rsidRPr="00E60180">
        <w:rPr>
          <w:sz w:val="20"/>
        </w:rPr>
        <w:t>–Oriental aún para cultivos de baja densidad económica; por ello, a mayor extracción, mayor es el beneficio.  La desecación de las lagunas no representa un impacto económico evidente.  En contraparte, los esquemas de manejo en condiciones de máxima tecnificación y equilibrio, se justifican únicamente debido a que el mejoramiento del manejo del agua en el sector agrícola vendría acompañado de un incremento de la productividad del agua superior al costo de las inversiones en infraestructura y tecnificación.</w:t>
      </w:r>
      <w:r w:rsidR="00A807E2" w:rsidRPr="00E60180">
        <w:rPr>
          <w:sz w:val="20"/>
        </w:rPr>
        <w:t xml:space="preserve">  De no mejorarse el rendimiento agrícola y el valor de los cultivos, la tecnificación no tendría justificación económica aparente.</w:t>
      </w:r>
    </w:p>
    <w:p w:rsidR="005F7EB8" w:rsidRDefault="005F7EB8" w:rsidP="00BA3FE3">
      <w:pPr>
        <w:pStyle w:val="Ttulo1"/>
      </w:pPr>
      <w:bookmarkStart w:id="24" w:name="_Toc283641777"/>
      <w:r>
        <w:lastRenderedPageBreak/>
        <w:t>Costos económico-ambientales por la sobreexplotación</w:t>
      </w:r>
      <w:bookmarkEnd w:id="24"/>
    </w:p>
    <w:p w:rsidR="005F7EB8" w:rsidRPr="00EA611E" w:rsidRDefault="005F7EB8" w:rsidP="001E5E26">
      <w:pPr>
        <w:pStyle w:val="Ttulo4"/>
      </w:pPr>
      <w:bookmarkStart w:id="25" w:name="_Toc262632385"/>
      <w:bookmarkStart w:id="26" w:name="_Toc283641778"/>
      <w:r w:rsidRPr="00EA611E">
        <w:t>Costos de extracción</w:t>
      </w:r>
      <w:bookmarkEnd w:id="25"/>
      <w:bookmarkEnd w:id="26"/>
    </w:p>
    <w:p w:rsidR="005F7EB8" w:rsidRPr="00E60180" w:rsidRDefault="005529BE" w:rsidP="005529BE">
      <w:pPr>
        <w:rPr>
          <w:sz w:val="20"/>
        </w:rPr>
      </w:pPr>
      <w:r>
        <w:rPr>
          <w:sz w:val="20"/>
        </w:rPr>
        <w:t>S</w:t>
      </w:r>
      <w:r w:rsidR="005F7EB8" w:rsidRPr="005529BE">
        <w:rPr>
          <w:sz w:val="20"/>
        </w:rPr>
        <w:t>e obtuvo un costo por metro cúbico sobreexplotado considerablemente bajo,</w:t>
      </w:r>
      <w:r>
        <w:rPr>
          <w:sz w:val="20"/>
        </w:rPr>
        <w:t xml:space="preserve"> que para el acuífero de Libres–</w:t>
      </w:r>
      <w:r w:rsidR="005F7EB8" w:rsidRPr="005529BE">
        <w:rPr>
          <w:sz w:val="20"/>
        </w:rPr>
        <w:t>Oriental, es próximo a $0.05 por metro cúbico sobreexplotado, relacionado a su vez con una afectación de un total de 225 pequeñas captaciones a través de la historia del acuífero, con un costo total estimado de 160 MDP.</w:t>
      </w:r>
      <w:r w:rsidR="009312B3">
        <w:rPr>
          <w:sz w:val="20"/>
        </w:rPr>
        <w:t xml:space="preserve">  </w:t>
      </w:r>
      <w:r w:rsidR="009312B3" w:rsidRPr="00E60180">
        <w:rPr>
          <w:sz w:val="20"/>
        </w:rPr>
        <w:t xml:space="preserve">Las captaciones se concentran en las inmediaciones de las lagunas del Carmen y </w:t>
      </w:r>
      <w:proofErr w:type="spellStart"/>
      <w:r w:rsidR="009312B3" w:rsidRPr="00E60180">
        <w:rPr>
          <w:sz w:val="20"/>
        </w:rPr>
        <w:t>Tepeyahualco</w:t>
      </w:r>
      <w:proofErr w:type="spellEnd"/>
      <w:r w:rsidR="009312B3" w:rsidRPr="00E60180">
        <w:rPr>
          <w:sz w:val="20"/>
        </w:rPr>
        <w:t>; sin embargo, alrededor de dichas lagunas también ocurren recuperaciones estacionales, aunque la tendencia piezométrica multianual resulta a la baja.</w:t>
      </w:r>
    </w:p>
    <w:p w:rsidR="005F7EB8" w:rsidRPr="005529BE" w:rsidRDefault="009312B3" w:rsidP="005529BE">
      <w:pPr>
        <w:rPr>
          <w:sz w:val="20"/>
        </w:rPr>
      </w:pPr>
      <w:r>
        <w:rPr>
          <w:sz w:val="20"/>
        </w:rPr>
        <w:t>M</w:t>
      </w:r>
      <w:r w:rsidR="005F7EB8" w:rsidRPr="005529BE">
        <w:rPr>
          <w:sz w:val="20"/>
        </w:rPr>
        <w:t>ás del 50% del costo de la energía es cubierto por incentivos fiscales (0.3 $/m³ Vs 0.7 $/m³). La energía a su vez, representa casi el 90% del costo de extracción del agua subterránea.</w:t>
      </w:r>
    </w:p>
    <w:p w:rsidR="005F7EB8" w:rsidRPr="005529BE" w:rsidRDefault="002F529D" w:rsidP="005529BE">
      <w:pPr>
        <w:rPr>
          <w:sz w:val="20"/>
        </w:rPr>
      </w:pPr>
      <w:r>
        <w:rPr>
          <w:sz w:val="20"/>
        </w:rPr>
        <w:t>S</w:t>
      </w:r>
      <w:r w:rsidR="005F7EB8" w:rsidRPr="005529BE">
        <w:rPr>
          <w:sz w:val="20"/>
        </w:rPr>
        <w:t xml:space="preserve">e concluye que actualmente cada metro cúbico de sobreexplotación causó un sobrecosto de 1.5 centavos, que equivale a un costo </w:t>
      </w:r>
      <w:r w:rsidR="009312B3">
        <w:rPr>
          <w:sz w:val="20"/>
        </w:rPr>
        <w:t xml:space="preserve">histórico </w:t>
      </w:r>
      <w:r w:rsidR="005F7EB8" w:rsidRPr="005529BE">
        <w:rPr>
          <w:sz w:val="20"/>
        </w:rPr>
        <w:t>total acumulado de 47 MDP</w:t>
      </w:r>
      <w:r w:rsidR="004248CA">
        <w:rPr>
          <w:sz w:val="20"/>
        </w:rPr>
        <w:t xml:space="preserve"> (2009)</w:t>
      </w:r>
      <w:r w:rsidR="005F7EB8" w:rsidRPr="005529BE">
        <w:rPr>
          <w:sz w:val="20"/>
        </w:rPr>
        <w:t>.</w:t>
      </w:r>
      <w:r>
        <w:rPr>
          <w:sz w:val="20"/>
        </w:rPr>
        <w:t xml:space="preserve"> </w:t>
      </w:r>
      <w:r w:rsidR="005F7EB8" w:rsidRPr="005529BE">
        <w:rPr>
          <w:sz w:val="20"/>
        </w:rPr>
        <w:t xml:space="preserve">Las afectaciones a captaciones junto con el incremento del costo de la energía, suman un total estimado de 60 MDP, equivalentes a </w:t>
      </w:r>
      <w:r w:rsidR="005F7EB8" w:rsidRPr="002F529D">
        <w:rPr>
          <w:sz w:val="20"/>
        </w:rPr>
        <w:t>17</w:t>
      </w:r>
      <w:r w:rsidR="005F7EB8" w:rsidRPr="005529BE">
        <w:rPr>
          <w:sz w:val="20"/>
        </w:rPr>
        <w:t xml:space="preserve"> centavos por metro cúbico sobreexplotado.</w:t>
      </w:r>
    </w:p>
    <w:p w:rsidR="005F7EB8" w:rsidRPr="002F529D" w:rsidRDefault="005F7EB8" w:rsidP="002F529D">
      <w:pPr>
        <w:pStyle w:val="Ttulo4"/>
      </w:pPr>
      <w:bookmarkStart w:id="27" w:name="_Toc283641779"/>
      <w:r w:rsidRPr="002F529D">
        <w:t>Costos por depreciación y mantenimiento</w:t>
      </w:r>
      <w:bookmarkEnd w:id="27"/>
    </w:p>
    <w:p w:rsidR="005F7EB8" w:rsidRPr="00EA611E" w:rsidRDefault="009312B3" w:rsidP="002F529D">
      <w:pPr>
        <w:rPr>
          <w:sz w:val="20"/>
        </w:rPr>
      </w:pPr>
      <w:r>
        <w:rPr>
          <w:sz w:val="20"/>
        </w:rPr>
        <w:t>E</w:t>
      </w:r>
      <w:r w:rsidR="005F7EB8" w:rsidRPr="00EA611E">
        <w:rPr>
          <w:sz w:val="20"/>
        </w:rPr>
        <w:t>l costo unitario por infraestructura de captación, se calcula en $1.01/m³, la depreciación, de $0.24/m³, que en suma resultan en $1.25/m³, lo que compone parte del costo del agua, sin implicar en sí un costo por sobreexplotación.</w:t>
      </w:r>
    </w:p>
    <w:p w:rsidR="005F7EB8" w:rsidRPr="00EA611E" w:rsidRDefault="005F7EB8" w:rsidP="001E5E26">
      <w:pPr>
        <w:pStyle w:val="Ttulo4"/>
      </w:pPr>
      <w:bookmarkStart w:id="28" w:name="_Toc262632386"/>
      <w:bookmarkStart w:id="29" w:name="_Toc283641780"/>
      <w:r w:rsidRPr="00EA611E">
        <w:t>Costos de oportunidad</w:t>
      </w:r>
      <w:bookmarkEnd w:id="28"/>
      <w:bookmarkEnd w:id="29"/>
    </w:p>
    <w:p w:rsidR="005F7EB8" w:rsidRPr="00EA611E" w:rsidRDefault="005F7EB8" w:rsidP="005F7EB8">
      <w:pPr>
        <w:rPr>
          <w:sz w:val="20"/>
        </w:rPr>
      </w:pPr>
      <w:r w:rsidRPr="00EA611E">
        <w:rPr>
          <w:sz w:val="20"/>
        </w:rPr>
        <w:t xml:space="preserve">La ponderación de la productividad del agua por metro cúbico para los cultivos más rentables, representa </w:t>
      </w:r>
      <w:r w:rsidR="004248CA">
        <w:rPr>
          <w:sz w:val="20"/>
        </w:rPr>
        <w:t>un valor unitario de $29</w:t>
      </w:r>
      <w:r w:rsidRPr="00EA611E">
        <w:rPr>
          <w:sz w:val="20"/>
        </w:rPr>
        <w:t>/m³, mientras que la correspondiente a los cultivos me</w:t>
      </w:r>
      <w:r w:rsidR="009312B3">
        <w:rPr>
          <w:sz w:val="20"/>
        </w:rPr>
        <w:t>nos rentables, resultó de $0.23</w:t>
      </w:r>
      <w:r w:rsidRPr="00EA611E">
        <w:rPr>
          <w:sz w:val="20"/>
        </w:rPr>
        <w:t>/m³, siendo en casos extremos un valor negativo $0.44/m³.</w:t>
      </w:r>
    </w:p>
    <w:p w:rsidR="005F7EB8" w:rsidRPr="00EA611E" w:rsidRDefault="005F7EB8" w:rsidP="005F7EB8">
      <w:pPr>
        <w:rPr>
          <w:sz w:val="20"/>
        </w:rPr>
      </w:pPr>
      <w:r w:rsidRPr="00EA611E">
        <w:rPr>
          <w:sz w:val="20"/>
        </w:rPr>
        <w:t>Las productividades por metro cúbico en Huamantla y</w:t>
      </w:r>
      <w:r w:rsidR="009312B3">
        <w:rPr>
          <w:sz w:val="20"/>
        </w:rPr>
        <w:t xml:space="preserve"> Libres–Oriental, son de $0.58/m³ y $1.20/</w:t>
      </w:r>
      <w:r w:rsidRPr="00EA611E">
        <w:rPr>
          <w:sz w:val="20"/>
        </w:rPr>
        <w:t>m³, respectivamente.  Al considerar una reducción de extracciones en los usos menos productivos, hasta alcanzar un punto de equilibrio, sería necesaria una disminución de 35 hm³ en cada acuífero, con lo cual dichas productividades se incrementarían a $2.44/ m³ y $1.50/ m³, respectivamente, de este modo, el costo de oportunidad por metro cúbico, es de $1.86/ m³ y $0.30 / m³, respectivamente.</w:t>
      </w:r>
      <w:r w:rsidR="004248CA">
        <w:rPr>
          <w:sz w:val="20"/>
        </w:rPr>
        <w:t xml:space="preserve"> </w:t>
      </w:r>
      <w:r w:rsidRPr="00EA611E">
        <w:rPr>
          <w:sz w:val="20"/>
        </w:rPr>
        <w:t xml:space="preserve">En Perote–Zalayeta, al no encontrarse sobreexplotado ni requerir de una política de reducción de extracción del agua subterránea, no existe un costo de oportunidad.  </w:t>
      </w:r>
    </w:p>
    <w:p w:rsidR="005F7EB8" w:rsidRPr="00EA611E" w:rsidRDefault="009E7BDF" w:rsidP="002F529D">
      <w:pPr>
        <w:rPr>
          <w:sz w:val="20"/>
        </w:rPr>
      </w:pPr>
      <w:r>
        <w:rPr>
          <w:sz w:val="20"/>
        </w:rPr>
        <w:t>S</w:t>
      </w:r>
      <w:r w:rsidR="005F7EB8" w:rsidRPr="00EA611E">
        <w:rPr>
          <w:sz w:val="20"/>
        </w:rPr>
        <w:t xml:space="preserve">e concluye que el costo de la sobreexplotación por metro cúbico es hasta ahora, de un orden </w:t>
      </w:r>
      <w:r w:rsidR="005D0348" w:rsidRPr="00EA611E">
        <w:rPr>
          <w:sz w:val="20"/>
        </w:rPr>
        <w:t>de $0.30/m³ sobreexplotado en Libres – Oriental y de $0.91/m³ en Huamantla.  Esto, considerada una tasa de aprovechamiento en exceso de 18% y 50%, respectivamente</w:t>
      </w:r>
      <w:r w:rsidR="005F7EB8" w:rsidRPr="00EA611E">
        <w:rPr>
          <w:sz w:val="20"/>
        </w:rPr>
        <w:t>.</w:t>
      </w:r>
    </w:p>
    <w:p w:rsidR="005F7EB8" w:rsidRPr="00EA611E" w:rsidRDefault="005F7EB8" w:rsidP="001E5E26">
      <w:pPr>
        <w:pStyle w:val="Ttulo4"/>
      </w:pPr>
      <w:bookmarkStart w:id="30" w:name="_Toc262632390"/>
      <w:bookmarkStart w:id="31" w:name="_Toc283641781"/>
      <w:r w:rsidRPr="00EA611E">
        <w:t>Evaluación de los beneficios económicos producto de la sobreexplotación</w:t>
      </w:r>
      <w:bookmarkEnd w:id="30"/>
      <w:bookmarkEnd w:id="31"/>
    </w:p>
    <w:p w:rsidR="005F7EB8" w:rsidRPr="00EA611E" w:rsidRDefault="005F7EB8" w:rsidP="005F7EB8">
      <w:pPr>
        <w:rPr>
          <w:i/>
          <w:sz w:val="20"/>
          <w:u w:val="single"/>
        </w:rPr>
      </w:pPr>
      <w:r w:rsidRPr="00EA611E">
        <w:rPr>
          <w:i/>
          <w:sz w:val="20"/>
          <w:u w:val="single"/>
        </w:rPr>
        <w:t>Beneficios netos del primer uso</w:t>
      </w:r>
    </w:p>
    <w:p w:rsidR="009E7BDF" w:rsidRDefault="005F7EB8" w:rsidP="002F529D">
      <w:pPr>
        <w:rPr>
          <w:sz w:val="20"/>
        </w:rPr>
      </w:pPr>
      <w:r w:rsidRPr="00EA611E">
        <w:rPr>
          <w:sz w:val="20"/>
        </w:rPr>
        <w:t xml:space="preserve">Para </w:t>
      </w:r>
      <w:r w:rsidR="00D55DCB">
        <w:rPr>
          <w:sz w:val="20"/>
        </w:rPr>
        <w:t>Libres–</w:t>
      </w:r>
      <w:r w:rsidRPr="00EA611E">
        <w:rPr>
          <w:sz w:val="20"/>
        </w:rPr>
        <w:t>Oriental, el costo real de la energía eléctrica requerida para aprovech</w:t>
      </w:r>
      <w:r w:rsidR="009312B3">
        <w:rPr>
          <w:sz w:val="20"/>
        </w:rPr>
        <w:t>ar un metro cúbico, es de $0.26</w:t>
      </w:r>
      <w:r w:rsidRPr="00EA611E">
        <w:rPr>
          <w:sz w:val="20"/>
        </w:rPr>
        <w:t>/m³, sin embargo, los incentivos fiscales sobre la tarifa eléctrica, hacen de este monto una cant</w:t>
      </w:r>
      <w:r w:rsidR="009312B3">
        <w:rPr>
          <w:sz w:val="20"/>
        </w:rPr>
        <w:t>idad menor, próxima a $0.06</w:t>
      </w:r>
      <w:r w:rsidRPr="00EA611E">
        <w:rPr>
          <w:sz w:val="20"/>
        </w:rPr>
        <w:t>/m³.  De allí, se deduce que existe un $0.20/m³ de sobrecosto real del agua</w:t>
      </w:r>
      <w:r w:rsidR="009E7BDF">
        <w:rPr>
          <w:sz w:val="20"/>
        </w:rPr>
        <w:t>.</w:t>
      </w:r>
    </w:p>
    <w:p w:rsidR="005F7EB8" w:rsidRPr="00EA611E" w:rsidRDefault="005F7EB8" w:rsidP="002F529D">
      <w:pPr>
        <w:rPr>
          <w:sz w:val="20"/>
        </w:rPr>
      </w:pPr>
      <w:r w:rsidRPr="00EA611E">
        <w:rPr>
          <w:sz w:val="20"/>
        </w:rPr>
        <w:lastRenderedPageBreak/>
        <w:t>El beneficio neto anual sin subsidio a la tarifa eléctrica en el acuífero de Libres Oriental, es del orden de 1.8 MD</w:t>
      </w:r>
      <w:r w:rsidR="00D55DCB">
        <w:rPr>
          <w:sz w:val="20"/>
        </w:rPr>
        <w:t xml:space="preserve">P, lo que equivale a $0.05 / m³, y </w:t>
      </w:r>
      <w:r w:rsidRPr="00EA611E">
        <w:rPr>
          <w:sz w:val="20"/>
        </w:rPr>
        <w:t>aparente se incrementa hasta 8 MDP, con un productividad por metro cúbico sobreexplotado, de $0.20 / m³.</w:t>
      </w:r>
    </w:p>
    <w:p w:rsidR="005F7EB8" w:rsidRPr="00EA611E" w:rsidRDefault="005F7EB8" w:rsidP="002F529D">
      <w:pPr>
        <w:rPr>
          <w:sz w:val="20"/>
        </w:rPr>
      </w:pPr>
      <w:r w:rsidRPr="00EA611E">
        <w:rPr>
          <w:sz w:val="20"/>
        </w:rPr>
        <w:t xml:space="preserve">El beneficio neto de la sobreexplotación histórica para Libres – Oriental, resulta de 92 MDP a pesos de 2009, a este beneficio se le descuenta el subsidio, de manera que resulta menor al beneficio aparente, que resulta de 377 MDP. Esto, como beneficio neto de la sobreexplotación. Complementariamente, el beneficio neto total real por año, es de un orden de </w:t>
      </w:r>
      <w:r w:rsidRPr="002F529D">
        <w:rPr>
          <w:sz w:val="20"/>
        </w:rPr>
        <w:t>199</w:t>
      </w:r>
      <w:r w:rsidRPr="00EA611E">
        <w:rPr>
          <w:sz w:val="20"/>
        </w:rPr>
        <w:t xml:space="preserve"> MDP, mientras que los subsidios lo tornan un beneficio aparente de </w:t>
      </w:r>
      <w:r w:rsidRPr="002F529D">
        <w:rPr>
          <w:sz w:val="20"/>
        </w:rPr>
        <w:t>239</w:t>
      </w:r>
      <w:r w:rsidRPr="00EA611E">
        <w:rPr>
          <w:sz w:val="20"/>
        </w:rPr>
        <w:t xml:space="preserve"> MDP.</w:t>
      </w:r>
    </w:p>
    <w:p w:rsidR="00D55DCB" w:rsidRDefault="005F7EB8" w:rsidP="002F529D">
      <w:pPr>
        <w:rPr>
          <w:sz w:val="20"/>
        </w:rPr>
      </w:pPr>
      <w:r w:rsidRPr="00EA611E">
        <w:rPr>
          <w:sz w:val="20"/>
        </w:rPr>
        <w:t>Para Huamantla, el costo real de la energía eléctrica requerida para aprovechar un metro cúbico, es de $0.22 $/m³, sin embargo, los incentivos fiscales sobre la tarifa eléctrica, hacen de este monto una cantidad menor, próxima a $0.05 $/m³.  De allí, se deduce que existe un $0.17 $/m³ de sobrecosto real del agua</w:t>
      </w:r>
      <w:r w:rsidR="00D55DCB">
        <w:rPr>
          <w:sz w:val="20"/>
        </w:rPr>
        <w:t>.</w:t>
      </w:r>
    </w:p>
    <w:p w:rsidR="005F7EB8" w:rsidRPr="00EA611E" w:rsidRDefault="005F7EB8" w:rsidP="002F529D">
      <w:pPr>
        <w:rPr>
          <w:sz w:val="20"/>
        </w:rPr>
      </w:pPr>
      <w:r w:rsidRPr="00EA611E">
        <w:rPr>
          <w:sz w:val="20"/>
        </w:rPr>
        <w:t>De la curva de beneficio neto acumulado sin subsidio a la tarifa eléctrica, se visualiza que el beneficio neto anual en Huamantla, es negativo, de -5 MDP, lo que equivale a -0.142 $/m³.  El beneficio neto real de la sobreexplotación histórica ante estos antecedentes, resulta de un valor negativo de -62.338 MDP, con un valor aparente de -13.17 MDP aparentes.</w:t>
      </w:r>
    </w:p>
    <w:p w:rsidR="005F7EB8" w:rsidRPr="00EA611E" w:rsidRDefault="005F7EB8" w:rsidP="005F7EB8">
      <w:pPr>
        <w:rPr>
          <w:i/>
          <w:sz w:val="20"/>
          <w:u w:val="single"/>
        </w:rPr>
      </w:pPr>
      <w:r w:rsidRPr="00EA611E">
        <w:rPr>
          <w:i/>
          <w:sz w:val="20"/>
          <w:u w:val="single"/>
        </w:rPr>
        <w:t>Beneficios de retornos de agua</w:t>
      </w:r>
    </w:p>
    <w:p w:rsidR="005F7EB8" w:rsidRPr="00EA611E" w:rsidRDefault="00CE774C" w:rsidP="005F7EB8">
      <w:pPr>
        <w:rPr>
          <w:sz w:val="20"/>
        </w:rPr>
      </w:pPr>
      <w:r>
        <w:rPr>
          <w:sz w:val="20"/>
        </w:rPr>
        <w:t>L</w:t>
      </w:r>
      <w:r w:rsidR="005F7EB8" w:rsidRPr="00EA611E">
        <w:rPr>
          <w:sz w:val="20"/>
        </w:rPr>
        <w:t xml:space="preserve">os retornos de agua al acuífero representan un factor que evita una mayor sobreexplotación, con ello contribuyen en un beneficio relativo con el costo de oportunidad, que para Libres Oriental es de $0.30 / m³ y para Huamantla, de $1.86 / m³.  En dichos términos, dada una sobreexplotación de un orden de 37 hm³ en Libres – Oriental y de 35 hm³ en Huamantla, y con un coeficiente de retorno total del 15%, el beneficio de los retornos (o el costo evitado por una mayor sobreexplotación), es de un orden anual de $1.67 millones de pesos, y $9.78 millones de pesos, respectivamente.   </w:t>
      </w:r>
    </w:p>
    <w:p w:rsidR="005F7EB8" w:rsidRPr="00EA611E" w:rsidRDefault="005F7EB8" w:rsidP="005F7EB8">
      <w:pPr>
        <w:rPr>
          <w:sz w:val="20"/>
        </w:rPr>
      </w:pPr>
      <w:r w:rsidRPr="00EA611E">
        <w:rPr>
          <w:sz w:val="20"/>
        </w:rPr>
        <w:t xml:space="preserve">En síntesis, el beneficio </w:t>
      </w:r>
      <w:r w:rsidRPr="00EA611E">
        <w:rPr>
          <w:b/>
          <w:sz w:val="20"/>
        </w:rPr>
        <w:t>por metro cúbico sobreexplotado</w:t>
      </w:r>
      <w:r w:rsidRPr="00EA611E">
        <w:rPr>
          <w:sz w:val="20"/>
        </w:rPr>
        <w:t xml:space="preserve"> por concepto de percolación y su impacto sobre el costo de oportunidad del agua, resulta de </w:t>
      </w:r>
      <w:r w:rsidRPr="00EA611E">
        <w:rPr>
          <w:b/>
          <w:sz w:val="20"/>
        </w:rPr>
        <w:t>$0.05</w:t>
      </w:r>
      <w:r w:rsidRPr="00EA611E">
        <w:rPr>
          <w:sz w:val="20"/>
        </w:rPr>
        <w:t xml:space="preserve"> </w:t>
      </w:r>
      <w:r w:rsidR="00D55DCB">
        <w:rPr>
          <w:sz w:val="20"/>
        </w:rPr>
        <w:t>/ m³ para el acuífero de Libres–</w:t>
      </w:r>
      <w:r w:rsidRPr="00EA611E">
        <w:rPr>
          <w:sz w:val="20"/>
        </w:rPr>
        <w:t xml:space="preserve">Oriental, y de </w:t>
      </w:r>
      <w:r w:rsidRPr="00EA611E">
        <w:rPr>
          <w:b/>
          <w:sz w:val="20"/>
        </w:rPr>
        <w:t>$0.28</w:t>
      </w:r>
      <w:r w:rsidRPr="00EA611E">
        <w:rPr>
          <w:sz w:val="20"/>
        </w:rPr>
        <w:t xml:space="preserve"> / m³ para el acuífero de Huamantla.  Para el caso de Perote, no se considera sobreexplotación del acuífero.  Históricamente, al considerar la sobreexplotación total, el beneficio acumulado asciende a $207 MDP.  El beneficio anual total, es entonces de $11.45 MDP.</w:t>
      </w:r>
    </w:p>
    <w:p w:rsidR="005F7EB8" w:rsidRPr="00EA611E" w:rsidRDefault="005F7EB8" w:rsidP="001E5E26">
      <w:pPr>
        <w:pStyle w:val="Ttulo4"/>
      </w:pPr>
      <w:bookmarkStart w:id="32" w:name="_Toc262632391"/>
      <w:bookmarkStart w:id="33" w:name="_Toc283641782"/>
      <w:r w:rsidRPr="00EA611E">
        <w:t>Análisis de la relación beneficio-costo de la sobreexplotación</w:t>
      </w:r>
      <w:bookmarkEnd w:id="32"/>
      <w:bookmarkEnd w:id="33"/>
    </w:p>
    <w:p w:rsidR="005D0348" w:rsidRPr="0055340B" w:rsidRDefault="005F7EB8" w:rsidP="005D0348">
      <w:pPr>
        <w:rPr>
          <w:sz w:val="20"/>
        </w:rPr>
      </w:pPr>
      <w:r w:rsidRPr="0055340B">
        <w:rPr>
          <w:sz w:val="20"/>
        </w:rPr>
        <w:t>Del análisis de los beneficios y de los costos de la sobreexplotación, se identifica:</w:t>
      </w:r>
      <w:r w:rsidR="0055477B" w:rsidRPr="0055340B">
        <w:rPr>
          <w:sz w:val="20"/>
        </w:rPr>
        <w:t xml:space="preserve"> un C</w:t>
      </w:r>
      <w:r w:rsidR="005D0348" w:rsidRPr="0055340B">
        <w:rPr>
          <w:sz w:val="20"/>
        </w:rPr>
        <w:t>osto total por sobreexpl</w:t>
      </w:r>
      <w:r w:rsidR="0055477B" w:rsidRPr="0055340B">
        <w:rPr>
          <w:sz w:val="20"/>
        </w:rPr>
        <w:t>otación histórica de 1,185 MDP (A</w:t>
      </w:r>
      <w:r w:rsidR="00D55DCB" w:rsidRPr="0055340B">
        <w:rPr>
          <w:sz w:val="20"/>
        </w:rPr>
        <w:t>fectación a captaciones</w:t>
      </w:r>
      <w:r w:rsidR="0055477B" w:rsidRPr="0055340B">
        <w:rPr>
          <w:sz w:val="20"/>
        </w:rPr>
        <w:t xml:space="preserve">, </w:t>
      </w:r>
      <w:r w:rsidR="00D55DCB" w:rsidRPr="0055340B">
        <w:rPr>
          <w:sz w:val="20"/>
        </w:rPr>
        <w:t>160 MDP; Sobrecostos de energía</w:t>
      </w:r>
      <w:r w:rsidR="0055477B" w:rsidRPr="0055340B">
        <w:rPr>
          <w:sz w:val="20"/>
        </w:rPr>
        <w:t xml:space="preserve">, </w:t>
      </w:r>
      <w:r w:rsidR="00D55DCB" w:rsidRPr="0055340B">
        <w:rPr>
          <w:sz w:val="20"/>
        </w:rPr>
        <w:t>60 MDP</w:t>
      </w:r>
      <w:r w:rsidR="0055477B" w:rsidRPr="0055340B">
        <w:rPr>
          <w:sz w:val="20"/>
        </w:rPr>
        <w:t>; y, Costos de oportunidad,</w:t>
      </w:r>
      <w:r w:rsidR="00E857BF" w:rsidRPr="0055340B">
        <w:rPr>
          <w:sz w:val="20"/>
        </w:rPr>
        <w:t xml:space="preserve"> </w:t>
      </w:r>
      <w:r w:rsidR="00D55DCB" w:rsidRPr="0055340B">
        <w:rPr>
          <w:sz w:val="20"/>
        </w:rPr>
        <w:t>965 MDP)</w:t>
      </w:r>
      <w:r w:rsidR="0055477B" w:rsidRPr="0055340B">
        <w:rPr>
          <w:sz w:val="20"/>
        </w:rPr>
        <w:t xml:space="preserve"> y un B</w:t>
      </w:r>
      <w:r w:rsidR="005D0348" w:rsidRPr="0055340B">
        <w:rPr>
          <w:sz w:val="20"/>
        </w:rPr>
        <w:t>eneficio acumulado por sobreexplotación, de</w:t>
      </w:r>
      <w:r w:rsidR="00D55DCB" w:rsidRPr="0055340B">
        <w:rPr>
          <w:sz w:val="20"/>
        </w:rPr>
        <w:t xml:space="preserve"> </w:t>
      </w:r>
      <w:r w:rsidR="0055477B" w:rsidRPr="0055340B">
        <w:rPr>
          <w:sz w:val="20"/>
        </w:rPr>
        <w:t xml:space="preserve">30 MDP. </w:t>
      </w:r>
      <w:r w:rsidR="005D0348" w:rsidRPr="0055340B">
        <w:rPr>
          <w:sz w:val="20"/>
        </w:rPr>
        <w:t xml:space="preserve">De este modo, la relación </w:t>
      </w:r>
      <w:r w:rsidR="0055477B" w:rsidRPr="0055340B">
        <w:rPr>
          <w:sz w:val="20"/>
        </w:rPr>
        <w:t>B</w:t>
      </w:r>
      <w:r w:rsidR="005D0348" w:rsidRPr="0055340B">
        <w:rPr>
          <w:sz w:val="20"/>
        </w:rPr>
        <w:t xml:space="preserve">eneficio – </w:t>
      </w:r>
      <w:r w:rsidR="0055477B" w:rsidRPr="0055340B">
        <w:rPr>
          <w:sz w:val="20"/>
        </w:rPr>
        <w:t>C</w:t>
      </w:r>
      <w:r w:rsidR="005D0348" w:rsidRPr="0055340B">
        <w:rPr>
          <w:sz w:val="20"/>
        </w:rPr>
        <w:t xml:space="preserve">osto </w:t>
      </w:r>
      <w:r w:rsidR="0055477B" w:rsidRPr="0055340B">
        <w:rPr>
          <w:sz w:val="20"/>
        </w:rPr>
        <w:t>de la sobreexplotación resulta de -1.155 MDP; mientras que la relación Beneficio / Costo es de 0.025.</w:t>
      </w:r>
    </w:p>
    <w:p w:rsidR="005F7EB8" w:rsidRPr="0055340B" w:rsidRDefault="005D0348" w:rsidP="005F7EB8">
      <w:pPr>
        <w:rPr>
          <w:sz w:val="20"/>
        </w:rPr>
      </w:pPr>
      <w:r w:rsidRPr="0055340B">
        <w:rPr>
          <w:sz w:val="20"/>
        </w:rPr>
        <w:t>En conclusión, ante la baja productividad de algunos cultivos que aprovechan importantes volúmenes de agua dentro del acuífero, la sobreexplotación es totalmente injustificada, los costos evaluados por afectación a captaciones, sobrecosto de energía y costo de oportunidad, son por sí solos bastante mayores a los beneficios.  Los beneficios netos, si se analizan sin s</w:t>
      </w:r>
      <w:r w:rsidR="0055477B" w:rsidRPr="0055340B">
        <w:rPr>
          <w:sz w:val="20"/>
        </w:rPr>
        <w:t>ubsidios</w:t>
      </w:r>
      <w:r w:rsidRPr="0055340B">
        <w:rPr>
          <w:sz w:val="20"/>
        </w:rPr>
        <w:t>, son mínimos en Libres</w:t>
      </w:r>
      <w:r w:rsidR="0055477B" w:rsidRPr="0055340B">
        <w:rPr>
          <w:sz w:val="20"/>
        </w:rPr>
        <w:t>–</w:t>
      </w:r>
      <w:r w:rsidRPr="0055340B">
        <w:rPr>
          <w:sz w:val="20"/>
        </w:rPr>
        <w:t>Oriental y negativos en Huamantla principalmente para algunos cultivos básicos</w:t>
      </w:r>
      <w:r w:rsidR="005F7EB8" w:rsidRPr="0055340B">
        <w:rPr>
          <w:sz w:val="20"/>
        </w:rPr>
        <w:t>.</w:t>
      </w:r>
    </w:p>
    <w:p w:rsidR="009312B3" w:rsidRDefault="009312B3">
      <w:pPr>
        <w:spacing w:before="0" w:after="0" w:line="240" w:lineRule="auto"/>
        <w:ind w:firstLine="0"/>
        <w:jc w:val="left"/>
        <w:rPr>
          <w:rFonts w:ascii="Myriad Web Pro" w:hAnsi="Myriad Web Pro"/>
          <w:b/>
          <w:bCs/>
          <w:smallCaps/>
          <w:color w:val="214F75"/>
          <w:sz w:val="40"/>
          <w:szCs w:val="40"/>
        </w:rPr>
      </w:pPr>
      <w:r>
        <w:br w:type="page"/>
      </w:r>
    </w:p>
    <w:p w:rsidR="00631CB8" w:rsidRPr="006B5D7F" w:rsidRDefault="00631CB8" w:rsidP="006B5D7F">
      <w:pPr>
        <w:pStyle w:val="Ttulo1"/>
      </w:pPr>
      <w:bookmarkStart w:id="34" w:name="_Toc283641783"/>
      <w:r w:rsidRPr="006B5D7F">
        <w:lastRenderedPageBreak/>
        <w:t>Alternativas de manejo integrado</w:t>
      </w:r>
      <w:bookmarkEnd w:id="34"/>
    </w:p>
    <w:p w:rsidR="00631CB8" w:rsidRPr="005D479D" w:rsidRDefault="00631CB8" w:rsidP="00631CB8">
      <w:pPr>
        <w:rPr>
          <w:sz w:val="20"/>
        </w:rPr>
      </w:pPr>
      <w:r w:rsidRPr="005D479D">
        <w:rPr>
          <w:sz w:val="20"/>
        </w:rPr>
        <w:t>En términos de planeación, se consideran</w:t>
      </w:r>
      <w:r w:rsidRPr="00E60180">
        <w:rPr>
          <w:sz w:val="20"/>
        </w:rPr>
        <w:t xml:space="preserve"> </w:t>
      </w:r>
      <w:r w:rsidR="009312B3" w:rsidRPr="00E60180">
        <w:rPr>
          <w:sz w:val="20"/>
        </w:rPr>
        <w:t>ocho</w:t>
      </w:r>
      <w:r w:rsidRPr="005D479D">
        <w:rPr>
          <w:sz w:val="20"/>
        </w:rPr>
        <w:t xml:space="preserve"> </w:t>
      </w:r>
      <w:r w:rsidR="009312B3">
        <w:rPr>
          <w:sz w:val="20"/>
        </w:rPr>
        <w:t>o</w:t>
      </w:r>
      <w:r w:rsidRPr="005D479D">
        <w:rPr>
          <w:sz w:val="20"/>
        </w:rPr>
        <w:t xml:space="preserve">bjetivos específicos con total correspondencia a los establecidos en el Programa Hídrico Nacional 2007-2012. </w:t>
      </w:r>
    </w:p>
    <w:p w:rsidR="00631CB8" w:rsidRPr="005419B7" w:rsidRDefault="00631CB8" w:rsidP="00631CB8">
      <w:pPr>
        <w:numPr>
          <w:ilvl w:val="0"/>
          <w:numId w:val="82"/>
        </w:numPr>
        <w:rPr>
          <w:b/>
          <w:i/>
          <w:sz w:val="20"/>
        </w:rPr>
      </w:pPr>
      <w:r w:rsidRPr="005419B7">
        <w:rPr>
          <w:b/>
          <w:i/>
          <w:sz w:val="20"/>
        </w:rPr>
        <w:t>Objetivo Estratégico 1: Mejorar la productividad del agua en el sector agrícola</w:t>
      </w:r>
    </w:p>
    <w:p w:rsidR="00631CB8" w:rsidRDefault="00631CB8" w:rsidP="00631CB8">
      <w:pPr>
        <w:rPr>
          <w:sz w:val="20"/>
        </w:rPr>
      </w:pPr>
      <w:r w:rsidRPr="005419B7">
        <w:rPr>
          <w:sz w:val="20"/>
        </w:rPr>
        <w:t xml:space="preserve">Siendo el sector agrícola el principal consumidor del recurso hídrico, las acciones que implanten y ejecuten de manera coordinada y continua favorecerá la oferta de agua subterránea, la cual podrá ser dirigida a esquemas de fortalecimiento y crecimiento del propio sector agrícola y de aquellos vinculados al mismo. Lo anterior requiere de aprovechamiento de áreas de oportunidad en esquemas como: la diversificación de actividades productivas y el incremento de la productividad agrícola. </w:t>
      </w:r>
    </w:p>
    <w:p w:rsidR="0055340B" w:rsidRDefault="0055340B" w:rsidP="00880A42">
      <w:pPr>
        <w:pStyle w:val="tabla1cap8"/>
      </w:pPr>
      <w:r>
        <w:t>Inversión requerida para el cumplimiento del Objetivo 1</w:t>
      </w:r>
    </w:p>
    <w:tbl>
      <w:tblPr>
        <w:tblW w:w="4850" w:type="pct"/>
        <w:tblBorders>
          <w:top w:val="single" w:sz="12" w:space="0" w:color="008000"/>
          <w:bottom w:val="single" w:sz="12" w:space="0" w:color="008000"/>
        </w:tblBorders>
        <w:tblLayout w:type="fixed"/>
        <w:tblLook w:val="04A0"/>
      </w:tblPr>
      <w:tblGrid>
        <w:gridCol w:w="533"/>
        <w:gridCol w:w="4252"/>
        <w:gridCol w:w="1276"/>
        <w:gridCol w:w="1278"/>
        <w:gridCol w:w="1132"/>
        <w:gridCol w:w="1136"/>
      </w:tblGrid>
      <w:tr w:rsidR="00631CB8" w:rsidRPr="005039CF" w:rsidTr="002C1057">
        <w:trPr>
          <w:trHeight w:val="255"/>
        </w:trPr>
        <w:tc>
          <w:tcPr>
            <w:tcW w:w="278" w:type="pct"/>
            <w:tcBorders>
              <w:top w:val="single" w:sz="12" w:space="0" w:color="008000"/>
              <w:bottom w:val="single" w:sz="8" w:space="0" w:color="4F6228"/>
            </w:tcBorders>
            <w:shd w:val="clear" w:color="auto" w:fill="auto"/>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No</w:t>
            </w:r>
          </w:p>
        </w:tc>
        <w:tc>
          <w:tcPr>
            <w:tcW w:w="2213" w:type="pct"/>
            <w:tcBorders>
              <w:top w:val="single" w:sz="12" w:space="0" w:color="008000"/>
              <w:bottom w:val="single" w:sz="8" w:space="0" w:color="4F6228"/>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Descripción</w:t>
            </w:r>
          </w:p>
        </w:tc>
        <w:tc>
          <w:tcPr>
            <w:tcW w:w="664" w:type="pct"/>
            <w:tcBorders>
              <w:top w:val="single" w:sz="12" w:space="0" w:color="008000"/>
              <w:bottom w:val="single" w:sz="8" w:space="0" w:color="4F6228"/>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2011-2012</w:t>
            </w:r>
          </w:p>
        </w:tc>
        <w:tc>
          <w:tcPr>
            <w:tcW w:w="665" w:type="pct"/>
            <w:tcBorders>
              <w:top w:val="single" w:sz="12" w:space="0" w:color="008000"/>
              <w:bottom w:val="single" w:sz="8" w:space="0" w:color="4F6228"/>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2013-2018</w:t>
            </w:r>
          </w:p>
        </w:tc>
        <w:tc>
          <w:tcPr>
            <w:tcW w:w="589" w:type="pct"/>
            <w:tcBorders>
              <w:top w:val="single" w:sz="12" w:space="0" w:color="008000"/>
              <w:bottom w:val="single" w:sz="8" w:space="0" w:color="4F6228"/>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2019-2040</w:t>
            </w:r>
          </w:p>
        </w:tc>
        <w:tc>
          <w:tcPr>
            <w:tcW w:w="591" w:type="pct"/>
            <w:tcBorders>
              <w:top w:val="single" w:sz="12" w:space="0" w:color="008000"/>
              <w:bottom w:val="single" w:sz="8" w:space="0" w:color="4F6228"/>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Total</w:t>
            </w:r>
          </w:p>
        </w:tc>
      </w:tr>
      <w:tr w:rsidR="00631CB8" w:rsidRPr="005039CF" w:rsidTr="002C1057">
        <w:trPr>
          <w:trHeight w:val="255"/>
        </w:trPr>
        <w:tc>
          <w:tcPr>
            <w:tcW w:w="278" w:type="pct"/>
            <w:tcBorders>
              <w:top w:val="single" w:sz="8" w:space="0" w:color="4F6228"/>
            </w:tcBorders>
            <w:shd w:val="clear" w:color="auto" w:fill="auto"/>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1</w:t>
            </w:r>
          </w:p>
        </w:tc>
        <w:tc>
          <w:tcPr>
            <w:tcW w:w="2213" w:type="pct"/>
            <w:tcBorders>
              <w:top w:val="single" w:sz="8" w:space="0" w:color="4F6228"/>
            </w:tcBorders>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Diversificación de actividades productivas</w:t>
            </w:r>
          </w:p>
        </w:tc>
        <w:tc>
          <w:tcPr>
            <w:tcW w:w="664" w:type="pct"/>
            <w:tcBorders>
              <w:top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$4,500.00</w:t>
            </w:r>
          </w:p>
        </w:tc>
        <w:tc>
          <w:tcPr>
            <w:tcW w:w="665" w:type="pct"/>
            <w:tcBorders>
              <w:top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$22,500.00</w:t>
            </w:r>
          </w:p>
        </w:tc>
        <w:tc>
          <w:tcPr>
            <w:tcW w:w="589" w:type="pct"/>
            <w:tcBorders>
              <w:top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$18,000.00</w:t>
            </w:r>
          </w:p>
        </w:tc>
        <w:tc>
          <w:tcPr>
            <w:tcW w:w="591" w:type="pct"/>
            <w:tcBorders>
              <w:top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$45,000.00</w:t>
            </w:r>
          </w:p>
        </w:tc>
      </w:tr>
      <w:tr w:rsidR="00631CB8" w:rsidRPr="005039CF" w:rsidTr="002C1057">
        <w:trPr>
          <w:trHeight w:val="255"/>
        </w:trPr>
        <w:tc>
          <w:tcPr>
            <w:tcW w:w="27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21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Ampliación de proyectos rentables con base a las experiencias exitosas en la cuenca</w:t>
            </w:r>
          </w:p>
        </w:tc>
        <w:tc>
          <w:tcPr>
            <w:tcW w:w="66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$4,500.00</w:t>
            </w:r>
          </w:p>
        </w:tc>
        <w:tc>
          <w:tcPr>
            <w:tcW w:w="665"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$22,500.00</w:t>
            </w:r>
          </w:p>
        </w:tc>
        <w:tc>
          <w:tcPr>
            <w:tcW w:w="589"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$18,000.00</w:t>
            </w:r>
          </w:p>
        </w:tc>
        <w:tc>
          <w:tcPr>
            <w:tcW w:w="591"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$45,000.00</w:t>
            </w:r>
          </w:p>
        </w:tc>
      </w:tr>
      <w:tr w:rsidR="00631CB8" w:rsidRPr="005039CF" w:rsidTr="002C1057">
        <w:trPr>
          <w:trHeight w:val="255"/>
        </w:trPr>
        <w:tc>
          <w:tcPr>
            <w:tcW w:w="278" w:type="pct"/>
            <w:shd w:val="clear" w:color="auto" w:fill="auto"/>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2</w:t>
            </w:r>
          </w:p>
        </w:tc>
        <w:tc>
          <w:tcPr>
            <w:tcW w:w="2213"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Incremento de la productividad agrícola</w:t>
            </w:r>
          </w:p>
        </w:tc>
        <w:tc>
          <w:tcPr>
            <w:tcW w:w="66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$64,399.20</w:t>
            </w:r>
          </w:p>
        </w:tc>
        <w:tc>
          <w:tcPr>
            <w:tcW w:w="665"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$272,448.08</w:t>
            </w:r>
          </w:p>
        </w:tc>
        <w:tc>
          <w:tcPr>
            <w:tcW w:w="589"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$878,317.11</w:t>
            </w:r>
          </w:p>
        </w:tc>
        <w:tc>
          <w:tcPr>
            <w:tcW w:w="591"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$1,215,164.38</w:t>
            </w:r>
          </w:p>
        </w:tc>
      </w:tr>
      <w:tr w:rsidR="00631CB8" w:rsidRPr="005039CF" w:rsidTr="002C1057">
        <w:trPr>
          <w:trHeight w:val="255"/>
        </w:trPr>
        <w:tc>
          <w:tcPr>
            <w:tcW w:w="27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21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Ampliación de superficies de riego</w:t>
            </w:r>
          </w:p>
        </w:tc>
        <w:tc>
          <w:tcPr>
            <w:tcW w:w="66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$0.00</w:t>
            </w:r>
          </w:p>
        </w:tc>
        <w:tc>
          <w:tcPr>
            <w:tcW w:w="665"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$5,316.92</w:t>
            </w:r>
          </w:p>
        </w:tc>
        <w:tc>
          <w:tcPr>
            <w:tcW w:w="589"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$42,683.08</w:t>
            </w:r>
          </w:p>
        </w:tc>
        <w:tc>
          <w:tcPr>
            <w:tcW w:w="591"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$48,000.00</w:t>
            </w:r>
          </w:p>
        </w:tc>
      </w:tr>
      <w:tr w:rsidR="00631CB8" w:rsidRPr="005039CF" w:rsidTr="002C1057">
        <w:trPr>
          <w:trHeight w:val="255"/>
        </w:trPr>
        <w:tc>
          <w:tcPr>
            <w:tcW w:w="27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21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Construcción de invernaderos</w:t>
            </w:r>
          </w:p>
        </w:tc>
        <w:tc>
          <w:tcPr>
            <w:tcW w:w="66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$0.00</w:t>
            </w:r>
          </w:p>
        </w:tc>
        <w:tc>
          <w:tcPr>
            <w:tcW w:w="665"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$0.00</w:t>
            </w:r>
          </w:p>
        </w:tc>
        <w:tc>
          <w:tcPr>
            <w:tcW w:w="589"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$70,000.00</w:t>
            </w:r>
          </w:p>
        </w:tc>
        <w:tc>
          <w:tcPr>
            <w:tcW w:w="591"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$70,000.00</w:t>
            </w:r>
          </w:p>
        </w:tc>
      </w:tr>
      <w:tr w:rsidR="00631CB8" w:rsidRPr="005039CF" w:rsidTr="002C1057">
        <w:trPr>
          <w:trHeight w:val="255"/>
        </w:trPr>
        <w:tc>
          <w:tcPr>
            <w:tcW w:w="27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21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Medición</w:t>
            </w:r>
          </w:p>
        </w:tc>
        <w:tc>
          <w:tcPr>
            <w:tcW w:w="66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$11,439.20</w:t>
            </w:r>
          </w:p>
        </w:tc>
        <w:tc>
          <w:tcPr>
            <w:tcW w:w="665"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$17,158.80</w:t>
            </w:r>
          </w:p>
        </w:tc>
        <w:tc>
          <w:tcPr>
            <w:tcW w:w="589"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$0.00</w:t>
            </w:r>
          </w:p>
        </w:tc>
        <w:tc>
          <w:tcPr>
            <w:tcW w:w="591"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$28,598.00</w:t>
            </w:r>
          </w:p>
        </w:tc>
      </w:tr>
      <w:tr w:rsidR="00631CB8" w:rsidRPr="005039CF" w:rsidTr="002C1057">
        <w:trPr>
          <w:trHeight w:val="255"/>
        </w:trPr>
        <w:tc>
          <w:tcPr>
            <w:tcW w:w="27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21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Modernización de infraestructura hidroagrícola y reconversión de cultivos según las características de suelos y clima</w:t>
            </w:r>
          </w:p>
        </w:tc>
        <w:tc>
          <w:tcPr>
            <w:tcW w:w="664"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$48,200.00</w:t>
            </w:r>
          </w:p>
        </w:tc>
        <w:tc>
          <w:tcPr>
            <w:tcW w:w="665"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$242,832.35</w:t>
            </w:r>
          </w:p>
        </w:tc>
        <w:tc>
          <w:tcPr>
            <w:tcW w:w="589"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$765,634.03</w:t>
            </w:r>
          </w:p>
        </w:tc>
        <w:tc>
          <w:tcPr>
            <w:tcW w:w="591"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$1,056,666.38</w:t>
            </w:r>
          </w:p>
        </w:tc>
      </w:tr>
      <w:tr w:rsidR="00631CB8" w:rsidRPr="005039CF" w:rsidTr="002C1057">
        <w:trPr>
          <w:trHeight w:val="255"/>
        </w:trPr>
        <w:tc>
          <w:tcPr>
            <w:tcW w:w="27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21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Planes Directores</w:t>
            </w:r>
          </w:p>
        </w:tc>
        <w:tc>
          <w:tcPr>
            <w:tcW w:w="664" w:type="pct"/>
            <w:tcBorders>
              <w:top w:val="nil"/>
              <w:bottom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$4,760.00</w:t>
            </w:r>
          </w:p>
        </w:tc>
        <w:tc>
          <w:tcPr>
            <w:tcW w:w="665" w:type="pct"/>
            <w:tcBorders>
              <w:top w:val="nil"/>
              <w:bottom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$7,140.00</w:t>
            </w:r>
          </w:p>
        </w:tc>
        <w:tc>
          <w:tcPr>
            <w:tcW w:w="589" w:type="pct"/>
            <w:tcBorders>
              <w:top w:val="nil"/>
              <w:bottom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$0.00</w:t>
            </w:r>
          </w:p>
        </w:tc>
        <w:tc>
          <w:tcPr>
            <w:tcW w:w="591" w:type="pct"/>
            <w:tcBorders>
              <w:top w:val="nil"/>
              <w:bottom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$11,900.00</w:t>
            </w:r>
          </w:p>
        </w:tc>
      </w:tr>
      <w:tr w:rsidR="00631CB8" w:rsidRPr="005039CF" w:rsidTr="002C1057">
        <w:trPr>
          <w:trHeight w:val="255"/>
        </w:trPr>
        <w:tc>
          <w:tcPr>
            <w:tcW w:w="278" w:type="pct"/>
            <w:shd w:val="clear" w:color="auto" w:fill="auto"/>
          </w:tcPr>
          <w:p w:rsidR="00631CB8" w:rsidRPr="005039CF" w:rsidRDefault="00631CB8" w:rsidP="005529BE">
            <w:pPr>
              <w:spacing w:before="20" w:after="20" w:line="240" w:lineRule="auto"/>
              <w:ind w:firstLine="0"/>
              <w:jc w:val="right"/>
              <w:rPr>
                <w:rFonts w:eastAsia="Times New Roman" w:cs="Arial"/>
                <w:b/>
                <w:bCs/>
                <w:sz w:val="16"/>
                <w:szCs w:val="16"/>
                <w:lang w:eastAsia="es-MX"/>
              </w:rPr>
            </w:pPr>
          </w:p>
        </w:tc>
        <w:tc>
          <w:tcPr>
            <w:tcW w:w="2213"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Total General</w:t>
            </w:r>
          </w:p>
        </w:tc>
        <w:tc>
          <w:tcPr>
            <w:tcW w:w="664" w:type="pct"/>
            <w:tcBorders>
              <w:top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$68,899.20</w:t>
            </w:r>
          </w:p>
        </w:tc>
        <w:tc>
          <w:tcPr>
            <w:tcW w:w="665" w:type="pct"/>
            <w:tcBorders>
              <w:top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$294,948.08</w:t>
            </w:r>
          </w:p>
        </w:tc>
        <w:tc>
          <w:tcPr>
            <w:tcW w:w="589" w:type="pct"/>
            <w:tcBorders>
              <w:top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$896,317.11</w:t>
            </w:r>
          </w:p>
        </w:tc>
        <w:tc>
          <w:tcPr>
            <w:tcW w:w="591" w:type="pct"/>
            <w:tcBorders>
              <w:top w:val="single" w:sz="8" w:space="0" w:color="4F6228"/>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$1,260,164.38</w:t>
            </w:r>
          </w:p>
        </w:tc>
      </w:tr>
    </w:tbl>
    <w:p w:rsidR="00631CB8" w:rsidRDefault="00631CB8" w:rsidP="00631CB8">
      <w:pPr>
        <w:rPr>
          <w:b/>
          <w:i/>
          <w:sz w:val="20"/>
        </w:rPr>
      </w:pPr>
    </w:p>
    <w:p w:rsidR="00631CB8" w:rsidRPr="005419B7" w:rsidRDefault="00631CB8" w:rsidP="00631CB8">
      <w:pPr>
        <w:numPr>
          <w:ilvl w:val="0"/>
          <w:numId w:val="82"/>
        </w:numPr>
        <w:rPr>
          <w:b/>
          <w:i/>
          <w:sz w:val="20"/>
        </w:rPr>
      </w:pPr>
      <w:r w:rsidRPr="005419B7">
        <w:rPr>
          <w:b/>
          <w:i/>
          <w:sz w:val="20"/>
        </w:rPr>
        <w:t>Objetivo Estratégico 2: Incrementar el acceso y la calidad de los servicios de agua potable, alcantarillado y saneamiento</w:t>
      </w:r>
    </w:p>
    <w:p w:rsidR="00631CB8" w:rsidRDefault="00631CB8" w:rsidP="00631CB8">
      <w:pPr>
        <w:rPr>
          <w:sz w:val="20"/>
        </w:rPr>
      </w:pPr>
      <w:r w:rsidRPr="005419B7">
        <w:rPr>
          <w:sz w:val="20"/>
        </w:rPr>
        <w:t xml:space="preserve">Después del sector agrícola, el sector público-urbano ejerce mayor presión sobre los recursos hídricos subterráneos. Su papel dentro del esquema de alternativas de manejo, requiere de estrategias en cuatro escenarios: agua potable, control de descargas contaminantes, incremento y mantenimiento de sistemas de alcantarillado, y saneamiento. </w:t>
      </w:r>
    </w:p>
    <w:p w:rsidR="0055340B" w:rsidRPr="00880A42" w:rsidRDefault="0055340B" w:rsidP="00880A42">
      <w:pPr>
        <w:pStyle w:val="tabla1cap8"/>
        <w:ind w:left="0" w:firstLine="0"/>
      </w:pPr>
      <w:r w:rsidRPr="00880A42">
        <w:t>Inversión requerida para el cumplimiento del Objetivo 2</w:t>
      </w:r>
    </w:p>
    <w:tbl>
      <w:tblPr>
        <w:tblW w:w="4899" w:type="pct"/>
        <w:tblInd w:w="108" w:type="dxa"/>
        <w:tblBorders>
          <w:top w:val="single" w:sz="12" w:space="0" w:color="008000"/>
          <w:bottom w:val="single" w:sz="12" w:space="0" w:color="008000"/>
        </w:tblBorders>
        <w:tblLayout w:type="fixed"/>
        <w:tblLook w:val="04A0"/>
      </w:tblPr>
      <w:tblGrid>
        <w:gridCol w:w="667"/>
        <w:gridCol w:w="3666"/>
        <w:gridCol w:w="1663"/>
        <w:gridCol w:w="1328"/>
        <w:gridCol w:w="1219"/>
        <w:gridCol w:w="1161"/>
      </w:tblGrid>
      <w:tr w:rsidR="00631CB8" w:rsidRPr="0055340B" w:rsidTr="005529BE">
        <w:trPr>
          <w:trHeight w:val="20"/>
        </w:trPr>
        <w:tc>
          <w:tcPr>
            <w:tcW w:w="344" w:type="pct"/>
            <w:tcBorders>
              <w:bottom w:val="single" w:sz="6" w:space="0" w:color="008000"/>
            </w:tcBorders>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No.</w:t>
            </w:r>
          </w:p>
        </w:tc>
        <w:tc>
          <w:tcPr>
            <w:tcW w:w="1889" w:type="pct"/>
            <w:tcBorders>
              <w:bottom w:val="single" w:sz="6" w:space="0" w:color="008000"/>
            </w:tcBorders>
            <w:shd w:val="clear" w:color="auto" w:fill="auto"/>
            <w:noWrap/>
            <w:hideMark/>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Descripción</w:t>
            </w:r>
          </w:p>
        </w:tc>
        <w:tc>
          <w:tcPr>
            <w:tcW w:w="857" w:type="pct"/>
            <w:tcBorders>
              <w:bottom w:val="single" w:sz="6" w:space="0" w:color="008000"/>
            </w:tcBorders>
            <w:shd w:val="clear" w:color="auto" w:fill="auto"/>
            <w:noWrap/>
            <w:hideMark/>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2011-2012</w:t>
            </w:r>
          </w:p>
        </w:tc>
        <w:tc>
          <w:tcPr>
            <w:tcW w:w="684" w:type="pct"/>
            <w:tcBorders>
              <w:bottom w:val="single" w:sz="6" w:space="0" w:color="008000"/>
            </w:tcBorders>
            <w:shd w:val="clear" w:color="auto" w:fill="auto"/>
            <w:noWrap/>
            <w:hideMark/>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2013-2018</w:t>
            </w:r>
          </w:p>
        </w:tc>
        <w:tc>
          <w:tcPr>
            <w:tcW w:w="628" w:type="pct"/>
            <w:tcBorders>
              <w:bottom w:val="single" w:sz="6" w:space="0" w:color="008000"/>
            </w:tcBorders>
            <w:shd w:val="clear" w:color="auto" w:fill="auto"/>
            <w:noWrap/>
            <w:hideMark/>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2019-2040</w:t>
            </w:r>
          </w:p>
        </w:tc>
        <w:tc>
          <w:tcPr>
            <w:tcW w:w="598" w:type="pct"/>
            <w:tcBorders>
              <w:bottom w:val="single" w:sz="6" w:space="0" w:color="008000"/>
            </w:tcBorders>
            <w:shd w:val="clear" w:color="auto" w:fill="auto"/>
            <w:noWrap/>
            <w:hideMark/>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Total</w:t>
            </w:r>
          </w:p>
        </w:tc>
      </w:tr>
      <w:tr w:rsidR="00631CB8" w:rsidRPr="0055340B" w:rsidTr="005529BE">
        <w:trPr>
          <w:trHeight w:val="20"/>
        </w:trPr>
        <w:tc>
          <w:tcPr>
            <w:tcW w:w="344" w:type="pct"/>
          </w:tcPr>
          <w:p w:rsidR="00631CB8" w:rsidRPr="0055340B" w:rsidRDefault="00631CB8" w:rsidP="005529BE">
            <w:pPr>
              <w:spacing w:before="20" w:after="20" w:line="240" w:lineRule="auto"/>
              <w:ind w:firstLineChars="100" w:firstLine="160"/>
              <w:jc w:val="left"/>
              <w:rPr>
                <w:rFonts w:eastAsia="Times New Roman" w:cs="Arial"/>
                <w:sz w:val="16"/>
                <w:szCs w:val="16"/>
                <w:lang w:eastAsia="es-MX"/>
              </w:rPr>
            </w:pPr>
            <w:r w:rsidRPr="0055340B">
              <w:rPr>
                <w:rFonts w:eastAsia="Times New Roman" w:cs="Arial"/>
                <w:sz w:val="16"/>
                <w:szCs w:val="16"/>
                <w:lang w:eastAsia="es-MX"/>
              </w:rPr>
              <w:t>1</w:t>
            </w:r>
          </w:p>
        </w:tc>
        <w:tc>
          <w:tcPr>
            <w:tcW w:w="1889" w:type="pct"/>
            <w:shd w:val="clear" w:color="auto" w:fill="auto"/>
            <w:noWrap/>
            <w:hideMark/>
          </w:tcPr>
          <w:p w:rsidR="00631CB8" w:rsidRPr="0055340B" w:rsidRDefault="00631CB8" w:rsidP="005529BE">
            <w:pPr>
              <w:spacing w:before="20" w:after="20" w:line="240" w:lineRule="auto"/>
              <w:ind w:firstLineChars="100" w:firstLine="160"/>
              <w:jc w:val="left"/>
              <w:rPr>
                <w:rFonts w:eastAsia="Times New Roman" w:cs="Arial"/>
                <w:sz w:val="16"/>
                <w:szCs w:val="16"/>
                <w:lang w:eastAsia="es-MX"/>
              </w:rPr>
            </w:pPr>
            <w:r w:rsidRPr="0055340B">
              <w:rPr>
                <w:rFonts w:eastAsia="Times New Roman" w:cs="Arial"/>
                <w:sz w:val="16"/>
                <w:szCs w:val="16"/>
                <w:lang w:eastAsia="es-MX"/>
              </w:rPr>
              <w:t>Agua potable</w:t>
            </w:r>
          </w:p>
        </w:tc>
        <w:tc>
          <w:tcPr>
            <w:tcW w:w="857"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$3,975.23</w:t>
            </w:r>
          </w:p>
        </w:tc>
        <w:tc>
          <w:tcPr>
            <w:tcW w:w="684"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$88,344.03</w:t>
            </w:r>
          </w:p>
        </w:tc>
        <w:tc>
          <w:tcPr>
            <w:tcW w:w="628"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$8,411.31</w:t>
            </w:r>
          </w:p>
        </w:tc>
        <w:tc>
          <w:tcPr>
            <w:tcW w:w="598"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$100,730.57</w:t>
            </w:r>
          </w:p>
        </w:tc>
      </w:tr>
      <w:tr w:rsidR="00631CB8" w:rsidRPr="0055340B" w:rsidTr="005529BE">
        <w:trPr>
          <w:trHeight w:val="20"/>
        </w:trPr>
        <w:tc>
          <w:tcPr>
            <w:tcW w:w="344" w:type="pct"/>
          </w:tcPr>
          <w:p w:rsidR="00631CB8" w:rsidRPr="0055340B" w:rsidRDefault="00631CB8" w:rsidP="005529BE">
            <w:pPr>
              <w:spacing w:before="20" w:after="20" w:line="240" w:lineRule="auto"/>
              <w:ind w:firstLineChars="100" w:firstLine="160"/>
              <w:jc w:val="left"/>
              <w:rPr>
                <w:rFonts w:eastAsia="Times New Roman" w:cs="Arial"/>
                <w:sz w:val="16"/>
                <w:szCs w:val="16"/>
                <w:lang w:eastAsia="es-MX"/>
              </w:rPr>
            </w:pPr>
            <w:r w:rsidRPr="0055340B">
              <w:rPr>
                <w:rFonts w:eastAsia="Times New Roman" w:cs="Arial"/>
                <w:sz w:val="16"/>
                <w:szCs w:val="16"/>
                <w:lang w:eastAsia="es-MX"/>
              </w:rPr>
              <w:t>2</w:t>
            </w:r>
          </w:p>
        </w:tc>
        <w:tc>
          <w:tcPr>
            <w:tcW w:w="1889" w:type="pct"/>
            <w:shd w:val="clear" w:color="auto" w:fill="auto"/>
            <w:noWrap/>
            <w:hideMark/>
          </w:tcPr>
          <w:p w:rsidR="00631CB8" w:rsidRPr="0055340B" w:rsidRDefault="00631CB8" w:rsidP="005529BE">
            <w:pPr>
              <w:spacing w:before="20" w:after="20" w:line="240" w:lineRule="auto"/>
              <w:ind w:firstLineChars="100" w:firstLine="160"/>
              <w:jc w:val="left"/>
              <w:rPr>
                <w:rFonts w:eastAsia="Times New Roman" w:cs="Arial"/>
                <w:sz w:val="16"/>
                <w:szCs w:val="16"/>
                <w:lang w:eastAsia="es-MX"/>
              </w:rPr>
            </w:pPr>
            <w:r w:rsidRPr="0055340B">
              <w:rPr>
                <w:rFonts w:eastAsia="Times New Roman" w:cs="Arial"/>
                <w:sz w:val="16"/>
                <w:szCs w:val="16"/>
                <w:lang w:eastAsia="es-MX"/>
              </w:rPr>
              <w:t>Control de descargas contaminantes</w:t>
            </w:r>
          </w:p>
        </w:tc>
        <w:tc>
          <w:tcPr>
            <w:tcW w:w="857"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$2,100.00</w:t>
            </w:r>
          </w:p>
        </w:tc>
        <w:tc>
          <w:tcPr>
            <w:tcW w:w="684"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$3,300.00</w:t>
            </w:r>
          </w:p>
        </w:tc>
        <w:tc>
          <w:tcPr>
            <w:tcW w:w="628"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$9,600.00</w:t>
            </w:r>
          </w:p>
        </w:tc>
        <w:tc>
          <w:tcPr>
            <w:tcW w:w="598"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$15,000.00</w:t>
            </w:r>
          </w:p>
        </w:tc>
      </w:tr>
      <w:tr w:rsidR="00631CB8" w:rsidRPr="0055340B" w:rsidTr="005529BE">
        <w:trPr>
          <w:trHeight w:val="20"/>
        </w:trPr>
        <w:tc>
          <w:tcPr>
            <w:tcW w:w="344" w:type="pct"/>
          </w:tcPr>
          <w:p w:rsidR="00631CB8" w:rsidRPr="0055340B" w:rsidRDefault="00631CB8" w:rsidP="005529BE">
            <w:pPr>
              <w:spacing w:before="20" w:after="20" w:line="240" w:lineRule="auto"/>
              <w:ind w:firstLineChars="100" w:firstLine="160"/>
              <w:jc w:val="left"/>
              <w:rPr>
                <w:rFonts w:eastAsia="Times New Roman" w:cs="Arial"/>
                <w:sz w:val="16"/>
                <w:szCs w:val="16"/>
                <w:lang w:eastAsia="es-MX"/>
              </w:rPr>
            </w:pPr>
            <w:r w:rsidRPr="0055340B">
              <w:rPr>
                <w:rFonts w:eastAsia="Times New Roman" w:cs="Arial"/>
                <w:sz w:val="16"/>
                <w:szCs w:val="16"/>
                <w:lang w:eastAsia="es-MX"/>
              </w:rPr>
              <w:t>3</w:t>
            </w:r>
          </w:p>
        </w:tc>
        <w:tc>
          <w:tcPr>
            <w:tcW w:w="1889" w:type="pct"/>
            <w:shd w:val="clear" w:color="auto" w:fill="auto"/>
            <w:noWrap/>
            <w:hideMark/>
          </w:tcPr>
          <w:p w:rsidR="00631CB8" w:rsidRPr="0055340B" w:rsidRDefault="00631CB8" w:rsidP="005529BE">
            <w:pPr>
              <w:spacing w:before="20" w:after="20" w:line="240" w:lineRule="auto"/>
              <w:ind w:firstLineChars="100" w:firstLine="160"/>
              <w:jc w:val="left"/>
              <w:rPr>
                <w:rFonts w:eastAsia="Times New Roman" w:cs="Arial"/>
                <w:sz w:val="16"/>
                <w:szCs w:val="16"/>
                <w:lang w:eastAsia="es-MX"/>
              </w:rPr>
            </w:pPr>
            <w:r w:rsidRPr="0055340B">
              <w:rPr>
                <w:rFonts w:eastAsia="Times New Roman" w:cs="Arial"/>
                <w:sz w:val="16"/>
                <w:szCs w:val="16"/>
                <w:lang w:eastAsia="es-MX"/>
              </w:rPr>
              <w:t>Incremento en cobertura y mantenimiento en sistemas de alcantarillado</w:t>
            </w:r>
          </w:p>
        </w:tc>
        <w:tc>
          <w:tcPr>
            <w:tcW w:w="857" w:type="pct"/>
            <w:tcBorders>
              <w:bottom w:val="nil"/>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$194,152.07</w:t>
            </w:r>
          </w:p>
        </w:tc>
        <w:tc>
          <w:tcPr>
            <w:tcW w:w="684" w:type="pct"/>
            <w:tcBorders>
              <w:bottom w:val="nil"/>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$194,152.07</w:t>
            </w:r>
          </w:p>
        </w:tc>
        <w:tc>
          <w:tcPr>
            <w:tcW w:w="628" w:type="pct"/>
            <w:tcBorders>
              <w:bottom w:val="nil"/>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$362,304.14</w:t>
            </w:r>
          </w:p>
        </w:tc>
        <w:tc>
          <w:tcPr>
            <w:tcW w:w="598" w:type="pct"/>
            <w:tcBorders>
              <w:bottom w:val="nil"/>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$750,608.29</w:t>
            </w:r>
          </w:p>
        </w:tc>
      </w:tr>
      <w:tr w:rsidR="00631CB8" w:rsidRPr="0055340B" w:rsidTr="005529BE">
        <w:trPr>
          <w:trHeight w:val="20"/>
        </w:trPr>
        <w:tc>
          <w:tcPr>
            <w:tcW w:w="344" w:type="pct"/>
          </w:tcPr>
          <w:p w:rsidR="00631CB8" w:rsidRPr="0055340B" w:rsidRDefault="00631CB8" w:rsidP="005529BE">
            <w:pPr>
              <w:spacing w:before="20" w:after="20" w:line="240" w:lineRule="auto"/>
              <w:ind w:firstLineChars="100" w:firstLine="160"/>
              <w:jc w:val="left"/>
              <w:rPr>
                <w:rFonts w:eastAsia="Times New Roman" w:cs="Arial"/>
                <w:sz w:val="16"/>
                <w:szCs w:val="16"/>
                <w:lang w:eastAsia="es-MX"/>
              </w:rPr>
            </w:pPr>
            <w:r w:rsidRPr="0055340B">
              <w:rPr>
                <w:rFonts w:eastAsia="Times New Roman" w:cs="Arial"/>
                <w:sz w:val="16"/>
                <w:szCs w:val="16"/>
                <w:lang w:eastAsia="es-MX"/>
              </w:rPr>
              <w:t>4</w:t>
            </w:r>
          </w:p>
        </w:tc>
        <w:tc>
          <w:tcPr>
            <w:tcW w:w="1889" w:type="pct"/>
            <w:shd w:val="clear" w:color="auto" w:fill="auto"/>
            <w:noWrap/>
            <w:hideMark/>
          </w:tcPr>
          <w:p w:rsidR="00631CB8" w:rsidRPr="0055340B" w:rsidRDefault="00631CB8" w:rsidP="005529BE">
            <w:pPr>
              <w:spacing w:before="20" w:after="20" w:line="240" w:lineRule="auto"/>
              <w:ind w:firstLineChars="100" w:firstLine="160"/>
              <w:jc w:val="left"/>
              <w:rPr>
                <w:rFonts w:eastAsia="Times New Roman" w:cs="Arial"/>
                <w:sz w:val="16"/>
                <w:szCs w:val="16"/>
                <w:lang w:eastAsia="es-MX"/>
              </w:rPr>
            </w:pPr>
            <w:r w:rsidRPr="0055340B">
              <w:rPr>
                <w:rFonts w:eastAsia="Times New Roman" w:cs="Arial"/>
                <w:sz w:val="16"/>
                <w:szCs w:val="16"/>
                <w:lang w:eastAsia="es-MX"/>
              </w:rPr>
              <w:t>Incremento en sistemas de saneamiento</w:t>
            </w:r>
          </w:p>
        </w:tc>
        <w:tc>
          <w:tcPr>
            <w:tcW w:w="857" w:type="pct"/>
            <w:tcBorders>
              <w:top w:val="nil"/>
              <w:bottom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$0.00</w:t>
            </w:r>
          </w:p>
        </w:tc>
        <w:tc>
          <w:tcPr>
            <w:tcW w:w="684" w:type="pct"/>
            <w:tcBorders>
              <w:top w:val="nil"/>
              <w:bottom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$48,000.00</w:t>
            </w:r>
          </w:p>
        </w:tc>
        <w:tc>
          <w:tcPr>
            <w:tcW w:w="628" w:type="pct"/>
            <w:tcBorders>
              <w:top w:val="nil"/>
              <w:bottom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$0.00</w:t>
            </w:r>
          </w:p>
        </w:tc>
        <w:tc>
          <w:tcPr>
            <w:tcW w:w="598" w:type="pct"/>
            <w:tcBorders>
              <w:top w:val="nil"/>
              <w:bottom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$48,000.00</w:t>
            </w:r>
          </w:p>
        </w:tc>
      </w:tr>
      <w:tr w:rsidR="00631CB8" w:rsidRPr="0055340B" w:rsidTr="005529BE">
        <w:trPr>
          <w:trHeight w:val="20"/>
        </w:trPr>
        <w:tc>
          <w:tcPr>
            <w:tcW w:w="344" w:type="pct"/>
          </w:tcPr>
          <w:p w:rsidR="00631CB8" w:rsidRPr="0055340B" w:rsidRDefault="00631CB8" w:rsidP="005529BE">
            <w:pPr>
              <w:spacing w:before="20" w:after="20" w:line="240" w:lineRule="auto"/>
              <w:ind w:firstLine="0"/>
              <w:jc w:val="right"/>
              <w:rPr>
                <w:rFonts w:eastAsia="Times New Roman" w:cs="Arial"/>
                <w:b/>
                <w:bCs/>
                <w:sz w:val="16"/>
                <w:szCs w:val="16"/>
                <w:lang w:eastAsia="es-MX"/>
              </w:rPr>
            </w:pPr>
          </w:p>
        </w:tc>
        <w:tc>
          <w:tcPr>
            <w:tcW w:w="1889"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Total General</w:t>
            </w:r>
          </w:p>
        </w:tc>
        <w:tc>
          <w:tcPr>
            <w:tcW w:w="857" w:type="pct"/>
            <w:tcBorders>
              <w:top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$200,227.30</w:t>
            </w:r>
          </w:p>
        </w:tc>
        <w:tc>
          <w:tcPr>
            <w:tcW w:w="684" w:type="pct"/>
            <w:tcBorders>
              <w:top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$333,796.10</w:t>
            </w:r>
          </w:p>
        </w:tc>
        <w:tc>
          <w:tcPr>
            <w:tcW w:w="628" w:type="pct"/>
            <w:tcBorders>
              <w:top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$380,315.45</w:t>
            </w:r>
          </w:p>
        </w:tc>
        <w:tc>
          <w:tcPr>
            <w:tcW w:w="598" w:type="pct"/>
            <w:tcBorders>
              <w:top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$914,338.85</w:t>
            </w:r>
          </w:p>
        </w:tc>
      </w:tr>
    </w:tbl>
    <w:p w:rsidR="00631CB8" w:rsidRDefault="00631CB8" w:rsidP="00631CB8">
      <w:pPr>
        <w:rPr>
          <w:b/>
          <w:i/>
          <w:sz w:val="20"/>
        </w:rPr>
      </w:pPr>
    </w:p>
    <w:p w:rsidR="009312B3" w:rsidRDefault="009312B3">
      <w:pPr>
        <w:spacing w:before="0" w:after="0" w:line="240" w:lineRule="auto"/>
        <w:ind w:firstLine="0"/>
        <w:jc w:val="left"/>
        <w:rPr>
          <w:b/>
          <w:i/>
          <w:sz w:val="20"/>
        </w:rPr>
      </w:pPr>
      <w:r>
        <w:rPr>
          <w:b/>
          <w:i/>
          <w:sz w:val="20"/>
        </w:rPr>
        <w:br w:type="page"/>
      </w:r>
    </w:p>
    <w:p w:rsidR="00631CB8" w:rsidRPr="005419B7" w:rsidRDefault="00631CB8" w:rsidP="00631CB8">
      <w:pPr>
        <w:numPr>
          <w:ilvl w:val="0"/>
          <w:numId w:val="82"/>
        </w:numPr>
        <w:rPr>
          <w:b/>
          <w:i/>
          <w:sz w:val="20"/>
        </w:rPr>
      </w:pPr>
      <w:r w:rsidRPr="005419B7">
        <w:rPr>
          <w:b/>
          <w:i/>
          <w:sz w:val="20"/>
        </w:rPr>
        <w:lastRenderedPageBreak/>
        <w:t>Objetivo Estratégico 3: Promover el manejo integrado del agua en cuencas y acuíferos</w:t>
      </w:r>
    </w:p>
    <w:p w:rsidR="00631CB8" w:rsidRDefault="00631CB8" w:rsidP="00631CB8">
      <w:pPr>
        <w:rPr>
          <w:sz w:val="20"/>
        </w:rPr>
      </w:pPr>
      <w:r w:rsidRPr="005419B7">
        <w:rPr>
          <w:sz w:val="20"/>
        </w:rPr>
        <w:t xml:space="preserve">A la par de una política hídrica que favorece la gestión integrada de los recursos hídricos, el actual Plan de Manejo promueve la participación multisectorial y multitemporal de los diferentes actores vinculados, a través de un esquema de transversalidad suficiente y real. Es por ello, que el presente objetivo pretende coadyuvar a la conservación y compensación del medio ambiente, que permita asegurar la continuidad de los procesos hidrológicos en la zona de estudio, asegurando con ello, la oferta de agua en cantidad y calidad suficiente en el futuro inmediato y a largo plazo. </w:t>
      </w:r>
    </w:p>
    <w:p w:rsidR="0055340B" w:rsidRPr="00880A42" w:rsidRDefault="0055340B" w:rsidP="00880A42">
      <w:pPr>
        <w:pStyle w:val="tabla1cap8"/>
        <w:ind w:left="0" w:firstLine="0"/>
      </w:pPr>
      <w:r w:rsidRPr="00880A42">
        <w:t>Inversión requerida para el cumplimiento del Objetivo 3</w:t>
      </w:r>
    </w:p>
    <w:tbl>
      <w:tblPr>
        <w:tblW w:w="4972" w:type="pct"/>
        <w:tblBorders>
          <w:top w:val="single" w:sz="12" w:space="0" w:color="008000"/>
          <w:bottom w:val="single" w:sz="12" w:space="0" w:color="008000"/>
        </w:tblBorders>
        <w:tblLayout w:type="fixed"/>
        <w:tblLook w:val="04A0"/>
      </w:tblPr>
      <w:tblGrid>
        <w:gridCol w:w="527"/>
        <w:gridCol w:w="4684"/>
        <w:gridCol w:w="1133"/>
        <w:gridCol w:w="1135"/>
        <w:gridCol w:w="1241"/>
        <w:gridCol w:w="1129"/>
      </w:tblGrid>
      <w:tr w:rsidR="00631CB8" w:rsidRPr="005039CF" w:rsidTr="002C1057">
        <w:trPr>
          <w:trHeight w:val="270"/>
        </w:trPr>
        <w:tc>
          <w:tcPr>
            <w:tcW w:w="268" w:type="pct"/>
            <w:tcBorders>
              <w:bottom w:val="single" w:sz="6" w:space="0" w:color="008000"/>
            </w:tcBorders>
            <w:shd w:val="clear" w:color="auto" w:fill="auto"/>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No.</w:t>
            </w:r>
          </w:p>
        </w:tc>
        <w:tc>
          <w:tcPr>
            <w:tcW w:w="2378"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Descripción</w:t>
            </w:r>
          </w:p>
        </w:tc>
        <w:tc>
          <w:tcPr>
            <w:tcW w:w="575" w:type="pct"/>
            <w:tcBorders>
              <w:bottom w:val="single" w:sz="6" w:space="0" w:color="008000"/>
            </w:tcBorders>
            <w:shd w:val="clear" w:color="auto" w:fill="auto"/>
            <w:noWrap/>
            <w:hideMark/>
          </w:tcPr>
          <w:p w:rsidR="00631CB8" w:rsidRPr="005039CF" w:rsidRDefault="00631CB8" w:rsidP="005529BE">
            <w:pPr>
              <w:spacing w:before="20" w:after="20" w:line="240" w:lineRule="auto"/>
              <w:ind w:left="-251" w:firstLine="0"/>
              <w:jc w:val="center"/>
              <w:rPr>
                <w:rFonts w:eastAsia="Times New Roman" w:cs="Arial"/>
                <w:b/>
                <w:bCs/>
                <w:sz w:val="16"/>
                <w:szCs w:val="16"/>
                <w:lang w:eastAsia="es-MX"/>
              </w:rPr>
            </w:pPr>
            <w:r w:rsidRPr="005039CF">
              <w:rPr>
                <w:rFonts w:eastAsia="Times New Roman" w:cs="Arial"/>
                <w:b/>
                <w:bCs/>
                <w:sz w:val="16"/>
                <w:szCs w:val="16"/>
                <w:lang w:eastAsia="es-MX"/>
              </w:rPr>
              <w:t>2011-2012</w:t>
            </w:r>
          </w:p>
        </w:tc>
        <w:tc>
          <w:tcPr>
            <w:tcW w:w="576"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2013-2018</w:t>
            </w:r>
          </w:p>
        </w:tc>
        <w:tc>
          <w:tcPr>
            <w:tcW w:w="630"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2019-2040</w:t>
            </w:r>
          </w:p>
        </w:tc>
        <w:tc>
          <w:tcPr>
            <w:tcW w:w="573"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Total</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1</w:t>
            </w: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Control y prevención de la contaminación de suelo y agua</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$3,000.00</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$9,000.00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$33,000.00</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$45,000.00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Manejo de residuos sólidos</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$3,000.00</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$9,000.00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$33,000.00</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$45,000.00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2</w:t>
            </w: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Instrumentos de coordinación institucional</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$400.00</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$1,200.00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$4,400.00</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$6,000.00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Coordinación institucional</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$400.00</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$1,200.00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$4,400.00</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$6,000.00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3</w:t>
            </w: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Manejo de cuencas</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$21,666.67</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$65,000.00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$238,333.33</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$325,000.00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Capacitación e información</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$300.00</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$900.00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$3,300.00</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$4,500.00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Fomento de recarga de agua subterránea</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$3,566.67</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$10,700.00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$39,233.33</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$53,500.00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Manejo Forestal Sustentable</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$900.00</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$2,700.00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$9,900.00</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$13,500.00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Programa de recuperación de suelos</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$4,500.00</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$13,500.00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$49,500.00</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$67,500.00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Protección a la biodiversidad</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$600.00</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$1,800.00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$6,600.00</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$9,000.00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Reconversión de sistemas productivos</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$3,000.00</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$9,000.00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$33,000.00</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$45,000.00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378"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Recuperación de superficie forestal</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$8,800.00</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$26,400.00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$96,800.00</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sz w:val="16"/>
                <w:szCs w:val="16"/>
              </w:rPr>
            </w:pPr>
            <w:r w:rsidRPr="005039CF">
              <w:rPr>
                <w:rFonts w:cs="Arial"/>
                <w:sz w:val="16"/>
                <w:szCs w:val="16"/>
              </w:rPr>
              <w:t>$132,000.00</w:t>
            </w:r>
          </w:p>
        </w:tc>
      </w:tr>
      <w:tr w:rsidR="00631CB8" w:rsidRPr="005039CF" w:rsidTr="002C1057">
        <w:trPr>
          <w:trHeight w:val="270"/>
        </w:trPr>
        <w:tc>
          <w:tcPr>
            <w:tcW w:w="268" w:type="pct"/>
            <w:shd w:val="clear" w:color="auto" w:fill="auto"/>
          </w:tcPr>
          <w:p w:rsidR="00631CB8" w:rsidRPr="005039CF" w:rsidRDefault="00631CB8" w:rsidP="005529BE">
            <w:pPr>
              <w:spacing w:before="20" w:after="20" w:line="240" w:lineRule="auto"/>
              <w:ind w:firstLine="0"/>
              <w:jc w:val="left"/>
              <w:rPr>
                <w:rFonts w:eastAsia="Times New Roman" w:cs="Arial"/>
                <w:b/>
                <w:bCs/>
                <w:sz w:val="16"/>
                <w:szCs w:val="16"/>
                <w:lang w:eastAsia="es-MX"/>
              </w:rPr>
            </w:pPr>
          </w:p>
        </w:tc>
        <w:tc>
          <w:tcPr>
            <w:tcW w:w="2378" w:type="pct"/>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Total General</w:t>
            </w:r>
          </w:p>
        </w:tc>
        <w:tc>
          <w:tcPr>
            <w:tcW w:w="575"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$25,066.67</w:t>
            </w:r>
          </w:p>
        </w:tc>
        <w:tc>
          <w:tcPr>
            <w:tcW w:w="576"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$75,200.00</w:t>
            </w:r>
          </w:p>
        </w:tc>
        <w:tc>
          <w:tcPr>
            <w:tcW w:w="630"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$275,733.33</w:t>
            </w:r>
          </w:p>
        </w:tc>
        <w:tc>
          <w:tcPr>
            <w:tcW w:w="573" w:type="pct"/>
            <w:shd w:val="clear" w:color="auto" w:fill="auto"/>
            <w:noWrap/>
            <w:vAlign w:val="bottom"/>
            <w:hideMark/>
          </w:tcPr>
          <w:p w:rsidR="00631CB8" w:rsidRPr="005039CF" w:rsidRDefault="00631CB8" w:rsidP="005529BE">
            <w:pPr>
              <w:spacing w:before="20" w:after="20" w:line="240" w:lineRule="auto"/>
              <w:ind w:firstLine="0"/>
              <w:jc w:val="right"/>
              <w:rPr>
                <w:rFonts w:cs="Arial"/>
                <w:b/>
                <w:bCs/>
                <w:sz w:val="16"/>
                <w:szCs w:val="16"/>
              </w:rPr>
            </w:pPr>
            <w:r w:rsidRPr="005039CF">
              <w:rPr>
                <w:rFonts w:cs="Arial"/>
                <w:b/>
                <w:bCs/>
                <w:sz w:val="16"/>
                <w:szCs w:val="16"/>
              </w:rPr>
              <w:t>$376,000.00</w:t>
            </w:r>
          </w:p>
        </w:tc>
      </w:tr>
    </w:tbl>
    <w:p w:rsidR="00631CB8" w:rsidRDefault="00631CB8" w:rsidP="00631CB8">
      <w:pPr>
        <w:rPr>
          <w:sz w:val="20"/>
        </w:rPr>
      </w:pPr>
    </w:p>
    <w:p w:rsidR="00631CB8" w:rsidRPr="005419B7" w:rsidRDefault="00631CB8" w:rsidP="00631CB8">
      <w:pPr>
        <w:numPr>
          <w:ilvl w:val="0"/>
          <w:numId w:val="82"/>
        </w:numPr>
        <w:rPr>
          <w:b/>
          <w:i/>
          <w:sz w:val="20"/>
        </w:rPr>
      </w:pPr>
      <w:r w:rsidRPr="005419B7">
        <w:rPr>
          <w:b/>
          <w:i/>
          <w:sz w:val="20"/>
        </w:rPr>
        <w:t>Objetivo Estratégico 4: Mejorar el desarrollo técnico, administrativo y financiero del sector hidráulico</w:t>
      </w:r>
    </w:p>
    <w:p w:rsidR="00631CB8" w:rsidRDefault="00631CB8" w:rsidP="00631CB8">
      <w:pPr>
        <w:rPr>
          <w:sz w:val="20"/>
        </w:rPr>
      </w:pPr>
      <w:r w:rsidRPr="005419B7">
        <w:rPr>
          <w:sz w:val="20"/>
        </w:rPr>
        <w:t>Para este caso, el fortalecimiento técnico, administrativo y financiero del sector hidráulico (principalmente Organismos Operadores o entidades administradoras del agua), adquiere un matiz muy importante dado que es punto de partida para la ejecución de las estrategias de solución y aprovechamiento de oportunidades que se presentan en este Plan de Manejo. Se pretende pues, fortalecer las estructuras técnicas y humanas para ser capaces de enfrentar los retos en la administración y gestión del recurso hídrico de cara a una realidad más demandante.</w:t>
      </w:r>
    </w:p>
    <w:p w:rsidR="0055340B" w:rsidRPr="00880A42" w:rsidRDefault="0055340B" w:rsidP="00880A42">
      <w:pPr>
        <w:pStyle w:val="tabla1cap8"/>
        <w:ind w:left="0" w:firstLine="0"/>
      </w:pPr>
      <w:r w:rsidRPr="00880A42">
        <w:t>Inversión requerida para el cumplimiento del Objetivo 4</w:t>
      </w:r>
    </w:p>
    <w:tbl>
      <w:tblPr>
        <w:tblW w:w="5071" w:type="pct"/>
        <w:tblBorders>
          <w:top w:val="single" w:sz="12" w:space="0" w:color="008000"/>
          <w:bottom w:val="single" w:sz="12" w:space="0" w:color="008000"/>
        </w:tblBorders>
        <w:tblLayout w:type="fixed"/>
        <w:tblLook w:val="04A0"/>
      </w:tblPr>
      <w:tblGrid>
        <w:gridCol w:w="420"/>
        <w:gridCol w:w="4508"/>
        <w:gridCol w:w="1276"/>
        <w:gridCol w:w="1416"/>
        <w:gridCol w:w="1135"/>
        <w:gridCol w:w="1290"/>
      </w:tblGrid>
      <w:tr w:rsidR="00631CB8" w:rsidRPr="0055340B" w:rsidTr="002C1057">
        <w:trPr>
          <w:trHeight w:val="255"/>
        </w:trPr>
        <w:tc>
          <w:tcPr>
            <w:tcW w:w="209" w:type="pct"/>
            <w:tcBorders>
              <w:bottom w:val="single" w:sz="6" w:space="0" w:color="008000"/>
            </w:tcBorders>
          </w:tcPr>
          <w:p w:rsidR="00631CB8" w:rsidRPr="0055340B" w:rsidRDefault="00631CB8" w:rsidP="005529BE">
            <w:pPr>
              <w:spacing w:before="20" w:after="20" w:line="240" w:lineRule="auto"/>
              <w:ind w:hanging="142"/>
              <w:jc w:val="center"/>
              <w:rPr>
                <w:rFonts w:eastAsia="Times New Roman" w:cs="Arial"/>
                <w:b/>
                <w:bCs/>
                <w:sz w:val="16"/>
                <w:szCs w:val="16"/>
                <w:lang w:eastAsia="es-MX"/>
              </w:rPr>
            </w:pPr>
            <w:r w:rsidRPr="0055340B">
              <w:rPr>
                <w:rFonts w:eastAsia="Times New Roman" w:cs="Arial"/>
                <w:b/>
                <w:bCs/>
                <w:sz w:val="16"/>
                <w:szCs w:val="16"/>
                <w:lang w:eastAsia="es-MX"/>
              </w:rPr>
              <w:t>No.</w:t>
            </w:r>
          </w:p>
        </w:tc>
        <w:tc>
          <w:tcPr>
            <w:tcW w:w="2244" w:type="pct"/>
            <w:tcBorders>
              <w:bottom w:val="single" w:sz="6" w:space="0" w:color="008000"/>
            </w:tcBorders>
            <w:shd w:val="clear" w:color="auto" w:fill="auto"/>
            <w:noWrap/>
            <w:hideMark/>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Descripción</w:t>
            </w:r>
          </w:p>
        </w:tc>
        <w:tc>
          <w:tcPr>
            <w:tcW w:w="635" w:type="pct"/>
            <w:tcBorders>
              <w:bottom w:val="single" w:sz="6" w:space="0" w:color="008000"/>
            </w:tcBorders>
            <w:shd w:val="clear" w:color="auto" w:fill="auto"/>
            <w:noWrap/>
            <w:hideMark/>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2011-2012</w:t>
            </w:r>
          </w:p>
        </w:tc>
        <w:tc>
          <w:tcPr>
            <w:tcW w:w="705" w:type="pct"/>
            <w:tcBorders>
              <w:bottom w:val="single" w:sz="6" w:space="0" w:color="008000"/>
            </w:tcBorders>
            <w:shd w:val="clear" w:color="auto" w:fill="auto"/>
            <w:noWrap/>
            <w:hideMark/>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2013-2018</w:t>
            </w:r>
          </w:p>
        </w:tc>
        <w:tc>
          <w:tcPr>
            <w:tcW w:w="565" w:type="pct"/>
            <w:tcBorders>
              <w:bottom w:val="single" w:sz="6" w:space="0" w:color="008000"/>
            </w:tcBorders>
            <w:shd w:val="clear" w:color="auto" w:fill="auto"/>
            <w:noWrap/>
            <w:hideMark/>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2019-2040</w:t>
            </w:r>
          </w:p>
        </w:tc>
        <w:tc>
          <w:tcPr>
            <w:tcW w:w="642" w:type="pct"/>
            <w:tcBorders>
              <w:bottom w:val="single" w:sz="6" w:space="0" w:color="008000"/>
            </w:tcBorders>
            <w:shd w:val="clear" w:color="auto" w:fill="auto"/>
            <w:noWrap/>
            <w:hideMark/>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Total</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1</w:t>
            </w: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Banco de derechos del agua a favor del acuífero</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$133.33</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$400.00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$1,466.67</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$2,000.00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Banco de derechos del agua a favor del acuífero</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$133.33</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$1,466.67</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$2,000.00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2</w:t>
            </w: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Desarrollo de Organismos Operadores</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$2,600.00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$7,800.00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$28,600.00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$39,000.00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Creación y consolidación de organismos operadores o instituciones similares</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$2,600.00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$7,800.00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$28,600.00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$39,000.00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3</w:t>
            </w: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Estudios y proyectos</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$1,800.00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$5,400.00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$19,800.00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$27,000.00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Planeación</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$3,300.00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$4,500.00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Programa de desarrollo en zonas rurales</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$2,700.00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$9,900.00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$13,500.00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 xml:space="preserve">Programa de desarrollo en zonas rurales, servicios </w:t>
            </w:r>
            <w:r w:rsidRPr="0055340B">
              <w:rPr>
                <w:rFonts w:eastAsia="Times New Roman" w:cs="Arial"/>
                <w:sz w:val="16"/>
                <w:szCs w:val="16"/>
                <w:lang w:eastAsia="es-MX"/>
              </w:rPr>
              <w:lastRenderedPageBreak/>
              <w:t>ambientales, empleo y turismo</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lastRenderedPageBreak/>
              <w:t>$600.00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$1,800.00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$6,600.00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lastRenderedPageBreak/>
              <w:t>4</w:t>
            </w: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Gestión de financiamiento</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$140.00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$420.00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$1,540.00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$2,100.00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Gestión de financiamiento hacia instituciones ejecutoras</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$140.00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$420.00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$1,540.00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$2,100.00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5</w:t>
            </w: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Gestión de programas de apoyo</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$60.00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$180.00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$660.00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$900.00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Gestionar recursos financieros para fomentar la participación social e institucional</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$60.00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$180.00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$660.00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6</w:t>
            </w: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 xml:space="preserve">Gestión social y política </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$300.00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$1,100.00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$1,500.00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Gestión de políticas y programas de incidencia hídrica</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$1,100.00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$1,500.00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7</w:t>
            </w: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Optimización de tarifas y recursos hídricos</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$2,400.00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$7,200.00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$26,400.00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$36,000.00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Difusión del concepto de pago por servicios ambientales</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$1,100.00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$1,500.00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Identificación de áreas de oportunidad para el desarrollo socioeconómico</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$2,700.00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$9,900.00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$13,500.00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Valoración económica del agua</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$1,400.00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$4,200.00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$15,400.00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$21,000.00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8</w:t>
            </w: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b/>
                <w:bCs/>
                <w:sz w:val="16"/>
                <w:szCs w:val="16"/>
                <w:lang w:eastAsia="es-MX"/>
              </w:rPr>
            </w:pPr>
            <w:r w:rsidRPr="0055340B">
              <w:rPr>
                <w:rFonts w:eastAsia="Times New Roman" w:cs="Arial"/>
                <w:b/>
                <w:bCs/>
                <w:sz w:val="16"/>
                <w:szCs w:val="16"/>
                <w:lang w:eastAsia="es-MX"/>
              </w:rPr>
              <w:t>Sistemas de información</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$11,400.00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$34,200.00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$125,400.00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$171,000.00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Censo de infraestructura hidráulica</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$3,300.00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$4,500.00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 xml:space="preserve">Hidrología </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$3,000.00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$9,000.00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$33,000.00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$45,000.00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Hidrometría</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$5,400.00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$16,200.00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$59,400.00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$81,000.00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Inventario oficial de aprovechamientos y descargas</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$2,700.00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$9,900.00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$13,500.00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Medición y monitoreo de indicadores</w:t>
            </w:r>
          </w:p>
        </w:tc>
        <w:tc>
          <w:tcPr>
            <w:tcW w:w="63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$400.00</w:t>
            </w:r>
          </w:p>
        </w:tc>
        <w:tc>
          <w:tcPr>
            <w:tcW w:w="70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$1,200.00</w:t>
            </w:r>
          </w:p>
        </w:tc>
        <w:tc>
          <w:tcPr>
            <w:tcW w:w="565"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$4,400.00</w:t>
            </w:r>
          </w:p>
        </w:tc>
        <w:tc>
          <w:tcPr>
            <w:tcW w:w="642" w:type="pct"/>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$6,000.00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Modernizar los lineamientos para mejorar la calidad del agua</w:t>
            </w:r>
          </w:p>
        </w:tc>
        <w:tc>
          <w:tcPr>
            <w:tcW w:w="635" w:type="pct"/>
            <w:tcBorders>
              <w:bottom w:val="nil"/>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$400.00</w:t>
            </w:r>
          </w:p>
        </w:tc>
        <w:tc>
          <w:tcPr>
            <w:tcW w:w="705" w:type="pct"/>
            <w:tcBorders>
              <w:bottom w:val="nil"/>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$1,200.00</w:t>
            </w:r>
          </w:p>
        </w:tc>
        <w:tc>
          <w:tcPr>
            <w:tcW w:w="565" w:type="pct"/>
            <w:tcBorders>
              <w:bottom w:val="nil"/>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$4,400.00</w:t>
            </w:r>
          </w:p>
        </w:tc>
        <w:tc>
          <w:tcPr>
            <w:tcW w:w="642" w:type="pct"/>
            <w:tcBorders>
              <w:bottom w:val="nil"/>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$6,000.00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left"/>
              <w:rPr>
                <w:rFonts w:eastAsia="Times New Roman" w:cs="Arial"/>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left"/>
              <w:rPr>
                <w:rFonts w:eastAsia="Times New Roman" w:cs="Arial"/>
                <w:sz w:val="16"/>
                <w:szCs w:val="16"/>
                <w:lang w:eastAsia="es-MX"/>
              </w:rPr>
            </w:pPr>
            <w:r w:rsidRPr="0055340B">
              <w:rPr>
                <w:rFonts w:eastAsia="Times New Roman" w:cs="Arial"/>
                <w:sz w:val="16"/>
                <w:szCs w:val="16"/>
                <w:lang w:eastAsia="es-MX"/>
              </w:rPr>
              <w:t>Ordenamiento geográfico</w:t>
            </w:r>
          </w:p>
        </w:tc>
        <w:tc>
          <w:tcPr>
            <w:tcW w:w="635" w:type="pct"/>
            <w:tcBorders>
              <w:top w:val="nil"/>
              <w:bottom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$1,000.00</w:t>
            </w:r>
          </w:p>
        </w:tc>
        <w:tc>
          <w:tcPr>
            <w:tcW w:w="705" w:type="pct"/>
            <w:tcBorders>
              <w:top w:val="nil"/>
              <w:bottom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$3,000.00</w:t>
            </w:r>
          </w:p>
        </w:tc>
        <w:tc>
          <w:tcPr>
            <w:tcW w:w="565" w:type="pct"/>
            <w:tcBorders>
              <w:top w:val="nil"/>
              <w:bottom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$11,000.00</w:t>
            </w:r>
          </w:p>
        </w:tc>
        <w:tc>
          <w:tcPr>
            <w:tcW w:w="642" w:type="pct"/>
            <w:tcBorders>
              <w:top w:val="nil"/>
              <w:bottom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sz w:val="16"/>
                <w:szCs w:val="16"/>
                <w:lang w:eastAsia="es-MX"/>
              </w:rPr>
            </w:pPr>
            <w:r w:rsidRPr="0055340B">
              <w:rPr>
                <w:rFonts w:eastAsia="Times New Roman" w:cs="Arial"/>
                <w:sz w:val="16"/>
                <w:szCs w:val="16"/>
                <w:lang w:eastAsia="es-MX"/>
              </w:rPr>
              <w:t>$15,000.00</w:t>
            </w:r>
          </w:p>
        </w:tc>
      </w:tr>
      <w:tr w:rsidR="00631CB8" w:rsidRPr="0055340B" w:rsidTr="002C1057">
        <w:trPr>
          <w:trHeight w:val="255"/>
        </w:trPr>
        <w:tc>
          <w:tcPr>
            <w:tcW w:w="209" w:type="pct"/>
          </w:tcPr>
          <w:p w:rsidR="00631CB8" w:rsidRPr="0055340B" w:rsidRDefault="00631CB8" w:rsidP="005529BE">
            <w:pPr>
              <w:spacing w:before="20" w:after="20" w:line="240" w:lineRule="auto"/>
              <w:ind w:firstLine="0"/>
              <w:jc w:val="center"/>
              <w:rPr>
                <w:rFonts w:eastAsia="Times New Roman" w:cs="Arial"/>
                <w:b/>
                <w:bCs/>
                <w:sz w:val="16"/>
                <w:szCs w:val="16"/>
                <w:lang w:eastAsia="es-MX"/>
              </w:rPr>
            </w:pPr>
          </w:p>
        </w:tc>
        <w:tc>
          <w:tcPr>
            <w:tcW w:w="2244" w:type="pct"/>
            <w:shd w:val="clear" w:color="auto" w:fill="auto"/>
            <w:noWrap/>
            <w:hideMark/>
          </w:tcPr>
          <w:p w:rsidR="00631CB8" w:rsidRPr="0055340B" w:rsidRDefault="00631CB8" w:rsidP="005529BE">
            <w:pPr>
              <w:spacing w:before="20" w:after="20" w:line="240" w:lineRule="auto"/>
              <w:ind w:firstLine="0"/>
              <w:jc w:val="center"/>
              <w:rPr>
                <w:rFonts w:eastAsia="Times New Roman" w:cs="Arial"/>
                <w:b/>
                <w:bCs/>
                <w:sz w:val="16"/>
                <w:szCs w:val="16"/>
                <w:lang w:eastAsia="es-MX"/>
              </w:rPr>
            </w:pPr>
            <w:r w:rsidRPr="0055340B">
              <w:rPr>
                <w:rFonts w:eastAsia="Times New Roman" w:cs="Arial"/>
                <w:b/>
                <w:bCs/>
                <w:sz w:val="16"/>
                <w:szCs w:val="16"/>
                <w:lang w:eastAsia="es-MX"/>
              </w:rPr>
              <w:t>Total General</w:t>
            </w:r>
          </w:p>
        </w:tc>
        <w:tc>
          <w:tcPr>
            <w:tcW w:w="635" w:type="pct"/>
            <w:tcBorders>
              <w:top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$18,633.33</w:t>
            </w:r>
          </w:p>
        </w:tc>
        <w:tc>
          <w:tcPr>
            <w:tcW w:w="705" w:type="pct"/>
            <w:tcBorders>
              <w:top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$55,900.00</w:t>
            </w:r>
          </w:p>
        </w:tc>
        <w:tc>
          <w:tcPr>
            <w:tcW w:w="565" w:type="pct"/>
            <w:tcBorders>
              <w:top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$204,966.67</w:t>
            </w:r>
          </w:p>
        </w:tc>
        <w:tc>
          <w:tcPr>
            <w:tcW w:w="642" w:type="pct"/>
            <w:tcBorders>
              <w:top w:val="single" w:sz="4" w:space="0" w:color="auto"/>
            </w:tcBorders>
            <w:shd w:val="clear" w:color="auto" w:fill="auto"/>
            <w:noWrap/>
            <w:hideMark/>
          </w:tcPr>
          <w:p w:rsidR="00631CB8" w:rsidRPr="0055340B" w:rsidRDefault="00631CB8" w:rsidP="005529BE">
            <w:pPr>
              <w:spacing w:before="20" w:after="20" w:line="240" w:lineRule="auto"/>
              <w:ind w:firstLine="0"/>
              <w:jc w:val="right"/>
              <w:rPr>
                <w:rFonts w:eastAsia="Times New Roman" w:cs="Arial"/>
                <w:b/>
                <w:bCs/>
                <w:sz w:val="16"/>
                <w:szCs w:val="16"/>
                <w:lang w:eastAsia="es-MX"/>
              </w:rPr>
            </w:pPr>
            <w:r w:rsidRPr="0055340B">
              <w:rPr>
                <w:rFonts w:eastAsia="Times New Roman" w:cs="Arial"/>
                <w:b/>
                <w:bCs/>
                <w:sz w:val="16"/>
                <w:szCs w:val="16"/>
                <w:lang w:eastAsia="es-MX"/>
              </w:rPr>
              <w:t>$279,500.00</w:t>
            </w:r>
          </w:p>
        </w:tc>
      </w:tr>
    </w:tbl>
    <w:p w:rsidR="00631CB8" w:rsidRPr="004F57F0" w:rsidRDefault="00631CB8" w:rsidP="00631CB8">
      <w:pPr>
        <w:rPr>
          <w:sz w:val="20"/>
          <w:lang w:eastAsia="es-MX"/>
        </w:rPr>
      </w:pPr>
    </w:p>
    <w:p w:rsidR="00631CB8" w:rsidRPr="005419B7" w:rsidRDefault="00631CB8" w:rsidP="00631CB8">
      <w:pPr>
        <w:numPr>
          <w:ilvl w:val="0"/>
          <w:numId w:val="82"/>
        </w:numPr>
        <w:rPr>
          <w:b/>
          <w:i/>
          <w:sz w:val="20"/>
        </w:rPr>
      </w:pPr>
      <w:r w:rsidRPr="005419B7">
        <w:rPr>
          <w:b/>
          <w:i/>
          <w:sz w:val="20"/>
        </w:rPr>
        <w:t>Objetivo Estratégico 5: Consolidar la participación de los usuarios y la sociedad organizada en el manejo del agua y promover la cultura del buen uso</w:t>
      </w:r>
    </w:p>
    <w:p w:rsidR="00631CB8" w:rsidRDefault="00631CB8" w:rsidP="00631CB8">
      <w:pPr>
        <w:rPr>
          <w:sz w:val="20"/>
        </w:rPr>
      </w:pPr>
      <w:r w:rsidRPr="005419B7">
        <w:rPr>
          <w:sz w:val="20"/>
        </w:rPr>
        <w:t>Dentro de una problemática compleja, existen diversas variantes y repercusiones sociales que inciden en la calidad de vida de los habitantes, es por ello que la participación social no solo debe ser la ejecutora de las alternativas de solución, sino también, la responsable de prevenir que las actuales problemáticas incrementen su intensidad, y lógicamente, conducir las controversias dentro de canales de imparcialidad y el bien común.</w:t>
      </w:r>
    </w:p>
    <w:p w:rsidR="0055340B" w:rsidRPr="00880A42" w:rsidRDefault="0055340B" w:rsidP="00880A42">
      <w:pPr>
        <w:pStyle w:val="tabla1cap8"/>
        <w:ind w:left="0" w:firstLine="0"/>
      </w:pPr>
      <w:r w:rsidRPr="00880A42">
        <w:t>Inversión requerida para el cumplimiento del Objetivo 5</w:t>
      </w:r>
    </w:p>
    <w:tbl>
      <w:tblPr>
        <w:tblW w:w="5097" w:type="pct"/>
        <w:tblBorders>
          <w:top w:val="single" w:sz="12" w:space="0" w:color="008000"/>
          <w:bottom w:val="single" w:sz="12" w:space="0" w:color="008000"/>
        </w:tblBorders>
        <w:tblLayout w:type="fixed"/>
        <w:tblLook w:val="04A0"/>
      </w:tblPr>
      <w:tblGrid>
        <w:gridCol w:w="534"/>
        <w:gridCol w:w="4965"/>
        <w:gridCol w:w="989"/>
        <w:gridCol w:w="1137"/>
        <w:gridCol w:w="1278"/>
        <w:gridCol w:w="1193"/>
      </w:tblGrid>
      <w:tr w:rsidR="00631CB8" w:rsidRPr="005039CF" w:rsidTr="005039CF">
        <w:trPr>
          <w:trHeight w:val="255"/>
        </w:trPr>
        <w:tc>
          <w:tcPr>
            <w:tcW w:w="264" w:type="pct"/>
            <w:tcBorders>
              <w:bottom w:val="single" w:sz="6" w:space="0" w:color="008000"/>
            </w:tcBorders>
          </w:tcPr>
          <w:p w:rsidR="00631CB8" w:rsidRPr="005039CF" w:rsidRDefault="00631CB8" w:rsidP="005529BE">
            <w:pPr>
              <w:spacing w:before="20" w:after="20" w:line="240" w:lineRule="auto"/>
              <w:ind w:hanging="22"/>
              <w:jc w:val="center"/>
              <w:rPr>
                <w:rFonts w:eastAsia="Times New Roman" w:cs="Arial"/>
                <w:b/>
                <w:bCs/>
                <w:sz w:val="16"/>
                <w:szCs w:val="16"/>
                <w:lang w:eastAsia="es-MX"/>
              </w:rPr>
            </w:pPr>
            <w:r w:rsidRPr="005039CF">
              <w:rPr>
                <w:rFonts w:eastAsia="Times New Roman" w:cs="Arial"/>
                <w:b/>
                <w:bCs/>
                <w:sz w:val="16"/>
                <w:szCs w:val="16"/>
                <w:lang w:eastAsia="es-MX"/>
              </w:rPr>
              <w:t>No.</w:t>
            </w:r>
          </w:p>
        </w:tc>
        <w:tc>
          <w:tcPr>
            <w:tcW w:w="2459"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Descripción</w:t>
            </w:r>
          </w:p>
        </w:tc>
        <w:tc>
          <w:tcPr>
            <w:tcW w:w="490"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2011-2012</w:t>
            </w:r>
          </w:p>
        </w:tc>
        <w:tc>
          <w:tcPr>
            <w:tcW w:w="563"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2013-2018</w:t>
            </w:r>
          </w:p>
        </w:tc>
        <w:tc>
          <w:tcPr>
            <w:tcW w:w="633"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2019-2040</w:t>
            </w:r>
          </w:p>
        </w:tc>
        <w:tc>
          <w:tcPr>
            <w:tcW w:w="591"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Total</w:t>
            </w:r>
          </w:p>
        </w:tc>
      </w:tr>
      <w:tr w:rsidR="00631CB8" w:rsidRPr="005039CF" w:rsidTr="005039CF">
        <w:trPr>
          <w:trHeight w:val="255"/>
        </w:trPr>
        <w:tc>
          <w:tcPr>
            <w:tcW w:w="264" w:type="pct"/>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1</w:t>
            </w:r>
          </w:p>
        </w:tc>
        <w:tc>
          <w:tcPr>
            <w:tcW w:w="2459"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Comunicación y difusión</w:t>
            </w:r>
          </w:p>
        </w:tc>
        <w:tc>
          <w:tcPr>
            <w:tcW w:w="490"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14664.41</w:t>
            </w:r>
          </w:p>
        </w:tc>
        <w:tc>
          <w:tcPr>
            <w:tcW w:w="563"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$43,993.22</w:t>
            </w:r>
          </w:p>
        </w:tc>
        <w:tc>
          <w:tcPr>
            <w:tcW w:w="633"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$161,308.48</w:t>
            </w:r>
          </w:p>
        </w:tc>
        <w:tc>
          <w:tcPr>
            <w:tcW w:w="591"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$219,966.11</w:t>
            </w:r>
          </w:p>
        </w:tc>
      </w:tr>
      <w:tr w:rsidR="00631CB8" w:rsidRPr="005039CF" w:rsidTr="005039CF">
        <w:trPr>
          <w:trHeight w:val="255"/>
        </w:trPr>
        <w:tc>
          <w:tcPr>
            <w:tcW w:w="264" w:type="pct"/>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459"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 xml:space="preserve">Creación del programa de ahorro y cultura del agua </w:t>
            </w:r>
          </w:p>
        </w:tc>
        <w:tc>
          <w:tcPr>
            <w:tcW w:w="490"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13664.41</w:t>
            </w:r>
          </w:p>
        </w:tc>
        <w:tc>
          <w:tcPr>
            <w:tcW w:w="56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$40,993.22</w:t>
            </w:r>
          </w:p>
        </w:tc>
        <w:tc>
          <w:tcPr>
            <w:tcW w:w="63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$150,308.48</w:t>
            </w:r>
          </w:p>
        </w:tc>
        <w:tc>
          <w:tcPr>
            <w:tcW w:w="591"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$204,966.11</w:t>
            </w:r>
          </w:p>
        </w:tc>
      </w:tr>
      <w:tr w:rsidR="00631CB8" w:rsidRPr="005039CF" w:rsidTr="005039CF">
        <w:trPr>
          <w:trHeight w:val="255"/>
        </w:trPr>
        <w:tc>
          <w:tcPr>
            <w:tcW w:w="264" w:type="pct"/>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459"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Eficiencia en el consumo</w:t>
            </w:r>
          </w:p>
        </w:tc>
        <w:tc>
          <w:tcPr>
            <w:tcW w:w="490"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1000.00</w:t>
            </w:r>
          </w:p>
        </w:tc>
        <w:tc>
          <w:tcPr>
            <w:tcW w:w="56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$3,000.00</w:t>
            </w:r>
          </w:p>
        </w:tc>
        <w:tc>
          <w:tcPr>
            <w:tcW w:w="63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$11,000.00</w:t>
            </w:r>
          </w:p>
        </w:tc>
        <w:tc>
          <w:tcPr>
            <w:tcW w:w="591"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$15,000.00</w:t>
            </w:r>
          </w:p>
        </w:tc>
      </w:tr>
      <w:tr w:rsidR="00631CB8" w:rsidRPr="005039CF" w:rsidTr="005039CF">
        <w:trPr>
          <w:trHeight w:val="255"/>
        </w:trPr>
        <w:tc>
          <w:tcPr>
            <w:tcW w:w="264" w:type="pct"/>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2</w:t>
            </w:r>
          </w:p>
        </w:tc>
        <w:tc>
          <w:tcPr>
            <w:tcW w:w="2459"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Consolidación técnica y financiera del COTAS HLOP</w:t>
            </w:r>
          </w:p>
        </w:tc>
        <w:tc>
          <w:tcPr>
            <w:tcW w:w="490"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6460.00</w:t>
            </w:r>
          </w:p>
        </w:tc>
        <w:tc>
          <w:tcPr>
            <w:tcW w:w="563"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$19,380.00</w:t>
            </w:r>
          </w:p>
        </w:tc>
        <w:tc>
          <w:tcPr>
            <w:tcW w:w="633"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$71,060.00</w:t>
            </w:r>
          </w:p>
        </w:tc>
        <w:tc>
          <w:tcPr>
            <w:tcW w:w="591"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$96,900.00</w:t>
            </w:r>
          </w:p>
        </w:tc>
      </w:tr>
      <w:tr w:rsidR="00631CB8" w:rsidRPr="005039CF" w:rsidTr="005039CF">
        <w:trPr>
          <w:trHeight w:val="255"/>
        </w:trPr>
        <w:tc>
          <w:tcPr>
            <w:tcW w:w="264" w:type="pct"/>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459"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 xml:space="preserve">Colaboración con centros de investigación, instituciones educativas y otros </w:t>
            </w:r>
          </w:p>
        </w:tc>
        <w:tc>
          <w:tcPr>
            <w:tcW w:w="490"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6060.00</w:t>
            </w:r>
          </w:p>
        </w:tc>
        <w:tc>
          <w:tcPr>
            <w:tcW w:w="56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$18,180.00</w:t>
            </w:r>
          </w:p>
        </w:tc>
        <w:tc>
          <w:tcPr>
            <w:tcW w:w="63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$66,660.00</w:t>
            </w:r>
          </w:p>
        </w:tc>
        <w:tc>
          <w:tcPr>
            <w:tcW w:w="591"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$90,900.00</w:t>
            </w:r>
          </w:p>
        </w:tc>
      </w:tr>
      <w:tr w:rsidR="00631CB8" w:rsidRPr="005039CF" w:rsidTr="005039CF">
        <w:trPr>
          <w:trHeight w:val="255"/>
        </w:trPr>
        <w:tc>
          <w:tcPr>
            <w:tcW w:w="264" w:type="pct"/>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459"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Consolidación administrativa del COTAS</w:t>
            </w:r>
          </w:p>
        </w:tc>
        <w:tc>
          <w:tcPr>
            <w:tcW w:w="490"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400.00</w:t>
            </w:r>
          </w:p>
        </w:tc>
        <w:tc>
          <w:tcPr>
            <w:tcW w:w="56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$1,200.00</w:t>
            </w:r>
          </w:p>
        </w:tc>
        <w:tc>
          <w:tcPr>
            <w:tcW w:w="63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$4,400.00</w:t>
            </w:r>
          </w:p>
        </w:tc>
        <w:tc>
          <w:tcPr>
            <w:tcW w:w="591"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$6,000.00</w:t>
            </w:r>
          </w:p>
        </w:tc>
      </w:tr>
      <w:tr w:rsidR="00631CB8" w:rsidRPr="005039CF" w:rsidTr="005039CF">
        <w:trPr>
          <w:trHeight w:val="255"/>
        </w:trPr>
        <w:tc>
          <w:tcPr>
            <w:tcW w:w="264" w:type="pct"/>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3</w:t>
            </w:r>
          </w:p>
        </w:tc>
        <w:tc>
          <w:tcPr>
            <w:tcW w:w="2459"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Reglamentación del manejo del agua subterránea</w:t>
            </w:r>
          </w:p>
        </w:tc>
        <w:tc>
          <w:tcPr>
            <w:tcW w:w="490"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266.67</w:t>
            </w:r>
          </w:p>
        </w:tc>
        <w:tc>
          <w:tcPr>
            <w:tcW w:w="563"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$2,000.00</w:t>
            </w:r>
          </w:p>
        </w:tc>
        <w:tc>
          <w:tcPr>
            <w:tcW w:w="633"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$1,733.33</w:t>
            </w:r>
          </w:p>
        </w:tc>
        <w:tc>
          <w:tcPr>
            <w:tcW w:w="591"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$4,000.00</w:t>
            </w:r>
          </w:p>
        </w:tc>
      </w:tr>
      <w:tr w:rsidR="00631CB8" w:rsidRPr="005039CF" w:rsidTr="005039CF">
        <w:trPr>
          <w:trHeight w:val="255"/>
        </w:trPr>
        <w:tc>
          <w:tcPr>
            <w:tcW w:w="264" w:type="pct"/>
          </w:tcPr>
          <w:p w:rsidR="00631CB8" w:rsidRPr="005039CF" w:rsidRDefault="00631CB8" w:rsidP="005529BE">
            <w:pPr>
              <w:spacing w:before="20" w:after="20" w:line="240" w:lineRule="auto"/>
              <w:ind w:firstLine="0"/>
              <w:jc w:val="left"/>
              <w:rPr>
                <w:rFonts w:eastAsia="Times New Roman" w:cs="Arial"/>
                <w:sz w:val="16"/>
                <w:szCs w:val="16"/>
                <w:lang w:eastAsia="es-MX"/>
              </w:rPr>
            </w:pPr>
          </w:p>
        </w:tc>
        <w:tc>
          <w:tcPr>
            <w:tcW w:w="2459"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Reglamentación del manejo del agua subterránea e incentivos a usuarios</w:t>
            </w:r>
          </w:p>
        </w:tc>
        <w:tc>
          <w:tcPr>
            <w:tcW w:w="490"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266.67</w:t>
            </w:r>
          </w:p>
        </w:tc>
        <w:tc>
          <w:tcPr>
            <w:tcW w:w="563"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$2,000.00</w:t>
            </w:r>
          </w:p>
        </w:tc>
        <w:tc>
          <w:tcPr>
            <w:tcW w:w="633"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$1,733.33</w:t>
            </w:r>
          </w:p>
        </w:tc>
        <w:tc>
          <w:tcPr>
            <w:tcW w:w="591"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$4,000.00</w:t>
            </w:r>
          </w:p>
        </w:tc>
      </w:tr>
      <w:tr w:rsidR="00631CB8" w:rsidRPr="005039CF" w:rsidTr="005039CF">
        <w:trPr>
          <w:trHeight w:val="255"/>
        </w:trPr>
        <w:tc>
          <w:tcPr>
            <w:tcW w:w="264" w:type="pct"/>
          </w:tcPr>
          <w:p w:rsidR="00631CB8" w:rsidRPr="005039CF" w:rsidRDefault="00631CB8" w:rsidP="005529BE">
            <w:pPr>
              <w:spacing w:before="20" w:after="20" w:line="240" w:lineRule="auto"/>
              <w:ind w:firstLine="0"/>
              <w:jc w:val="center"/>
              <w:rPr>
                <w:rFonts w:eastAsia="Times New Roman" w:cs="Arial"/>
                <w:b/>
                <w:bCs/>
                <w:sz w:val="16"/>
                <w:szCs w:val="16"/>
                <w:lang w:eastAsia="es-MX"/>
              </w:rPr>
            </w:pPr>
          </w:p>
        </w:tc>
        <w:tc>
          <w:tcPr>
            <w:tcW w:w="2459" w:type="pct"/>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Total General</w:t>
            </w:r>
          </w:p>
        </w:tc>
        <w:tc>
          <w:tcPr>
            <w:tcW w:w="490"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21391.07</w:t>
            </w:r>
          </w:p>
        </w:tc>
        <w:tc>
          <w:tcPr>
            <w:tcW w:w="563"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$65,373.22</w:t>
            </w:r>
          </w:p>
        </w:tc>
        <w:tc>
          <w:tcPr>
            <w:tcW w:w="633"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$234,101.81</w:t>
            </w:r>
          </w:p>
        </w:tc>
        <w:tc>
          <w:tcPr>
            <w:tcW w:w="591"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$320,866.11</w:t>
            </w:r>
          </w:p>
        </w:tc>
      </w:tr>
    </w:tbl>
    <w:p w:rsidR="00631CB8" w:rsidRDefault="00631CB8" w:rsidP="00631CB8">
      <w:pPr>
        <w:rPr>
          <w:sz w:val="20"/>
        </w:rPr>
      </w:pPr>
    </w:p>
    <w:p w:rsidR="00631CB8" w:rsidRPr="005419B7" w:rsidRDefault="00631CB8" w:rsidP="00631CB8">
      <w:pPr>
        <w:numPr>
          <w:ilvl w:val="0"/>
          <w:numId w:val="82"/>
        </w:numPr>
        <w:rPr>
          <w:b/>
          <w:i/>
          <w:sz w:val="20"/>
        </w:rPr>
      </w:pPr>
      <w:r w:rsidRPr="005419B7">
        <w:rPr>
          <w:b/>
          <w:i/>
          <w:sz w:val="20"/>
        </w:rPr>
        <w:lastRenderedPageBreak/>
        <w:t>Objetivo Estratégico 6: Prevenir los riesgos derivados de los fenómenos meteorológicos e hidrometeorológicos y atender sus efectos</w:t>
      </w:r>
    </w:p>
    <w:p w:rsidR="00631CB8" w:rsidRDefault="00631CB8" w:rsidP="00631CB8">
      <w:pPr>
        <w:rPr>
          <w:sz w:val="20"/>
        </w:rPr>
      </w:pPr>
      <w:r w:rsidRPr="005419B7">
        <w:rPr>
          <w:sz w:val="20"/>
        </w:rPr>
        <w:t>La región de influencia del acuífero Huamantla-Libres Oriental-Perote se circunscribe dentro de la zona geográfica a nivel nacional que históricamente ha enfrentado eventos hidroclimatológicos extremos, principalmente la sequía. Tales circunstancias disminuyen la oferta de agua superficial e incrementan la presión en el agua subterránea, razón por lo cual se deben delinea las estrategias de prevención y mitigación a este tipo de eventos aunados a otros de carácter hidroclimatológico.</w:t>
      </w:r>
    </w:p>
    <w:p w:rsidR="0055340B" w:rsidRPr="00880A42" w:rsidRDefault="0055340B" w:rsidP="00880A42">
      <w:pPr>
        <w:pStyle w:val="tabla1cap8"/>
        <w:ind w:left="0" w:firstLine="0"/>
      </w:pPr>
      <w:r w:rsidRPr="00880A42">
        <w:t>Inversión requerida para el cumplimiento del Objetivo 6</w:t>
      </w:r>
    </w:p>
    <w:tbl>
      <w:tblPr>
        <w:tblW w:w="5000" w:type="pct"/>
        <w:tblBorders>
          <w:top w:val="single" w:sz="12" w:space="0" w:color="008000"/>
          <w:bottom w:val="single" w:sz="12" w:space="0" w:color="008000"/>
        </w:tblBorders>
        <w:tblLayout w:type="fixed"/>
        <w:tblLook w:val="04A0"/>
      </w:tblPr>
      <w:tblGrid>
        <w:gridCol w:w="5192"/>
        <w:gridCol w:w="1329"/>
        <w:gridCol w:w="1109"/>
        <w:gridCol w:w="1109"/>
        <w:gridCol w:w="1165"/>
      </w:tblGrid>
      <w:tr w:rsidR="00631CB8" w:rsidRPr="002C1057" w:rsidTr="005529BE">
        <w:trPr>
          <w:trHeight w:val="255"/>
        </w:trPr>
        <w:tc>
          <w:tcPr>
            <w:tcW w:w="2621" w:type="pct"/>
            <w:tcBorders>
              <w:bottom w:val="single" w:sz="6" w:space="0" w:color="008000"/>
            </w:tcBorders>
            <w:shd w:val="clear" w:color="auto" w:fill="auto"/>
            <w:noWrap/>
            <w:hideMark/>
          </w:tcPr>
          <w:p w:rsidR="00631CB8" w:rsidRPr="002C1057" w:rsidRDefault="00631CB8" w:rsidP="005529BE">
            <w:pPr>
              <w:spacing w:before="20" w:after="20" w:line="240" w:lineRule="auto"/>
              <w:ind w:firstLine="0"/>
              <w:jc w:val="center"/>
              <w:rPr>
                <w:rFonts w:eastAsia="Times New Roman" w:cs="Arial"/>
                <w:b/>
                <w:bCs/>
                <w:sz w:val="16"/>
                <w:szCs w:val="16"/>
                <w:lang w:eastAsia="es-MX"/>
              </w:rPr>
            </w:pPr>
            <w:r w:rsidRPr="002C1057">
              <w:rPr>
                <w:rFonts w:eastAsia="Times New Roman" w:cs="Arial"/>
                <w:b/>
                <w:bCs/>
                <w:sz w:val="16"/>
                <w:szCs w:val="16"/>
                <w:lang w:eastAsia="es-MX"/>
              </w:rPr>
              <w:t>Descripción</w:t>
            </w:r>
          </w:p>
        </w:tc>
        <w:tc>
          <w:tcPr>
            <w:tcW w:w="671" w:type="pct"/>
            <w:tcBorders>
              <w:bottom w:val="single" w:sz="6" w:space="0" w:color="008000"/>
            </w:tcBorders>
            <w:shd w:val="clear" w:color="auto" w:fill="auto"/>
            <w:noWrap/>
            <w:hideMark/>
          </w:tcPr>
          <w:p w:rsidR="00631CB8" w:rsidRPr="002C1057" w:rsidRDefault="00631CB8" w:rsidP="005529BE">
            <w:pPr>
              <w:spacing w:before="20" w:after="20" w:line="240" w:lineRule="auto"/>
              <w:ind w:firstLine="0"/>
              <w:jc w:val="center"/>
              <w:rPr>
                <w:rFonts w:eastAsia="Times New Roman" w:cs="Arial"/>
                <w:b/>
                <w:bCs/>
                <w:sz w:val="16"/>
                <w:szCs w:val="16"/>
                <w:lang w:eastAsia="es-MX"/>
              </w:rPr>
            </w:pPr>
            <w:r w:rsidRPr="002C1057">
              <w:rPr>
                <w:rFonts w:eastAsia="Times New Roman" w:cs="Arial"/>
                <w:b/>
                <w:bCs/>
                <w:sz w:val="16"/>
                <w:szCs w:val="16"/>
                <w:lang w:eastAsia="es-MX"/>
              </w:rPr>
              <w:t>2011-2012</w:t>
            </w:r>
          </w:p>
        </w:tc>
        <w:tc>
          <w:tcPr>
            <w:tcW w:w="560" w:type="pct"/>
            <w:tcBorders>
              <w:bottom w:val="single" w:sz="6" w:space="0" w:color="008000"/>
            </w:tcBorders>
            <w:shd w:val="clear" w:color="auto" w:fill="auto"/>
            <w:noWrap/>
            <w:hideMark/>
          </w:tcPr>
          <w:p w:rsidR="00631CB8" w:rsidRPr="002C1057" w:rsidRDefault="00631CB8" w:rsidP="005529BE">
            <w:pPr>
              <w:spacing w:before="20" w:after="20" w:line="240" w:lineRule="auto"/>
              <w:ind w:firstLine="0"/>
              <w:jc w:val="center"/>
              <w:rPr>
                <w:rFonts w:eastAsia="Times New Roman" w:cs="Arial"/>
                <w:b/>
                <w:bCs/>
                <w:sz w:val="16"/>
                <w:szCs w:val="16"/>
                <w:lang w:eastAsia="es-MX"/>
              </w:rPr>
            </w:pPr>
            <w:r w:rsidRPr="002C1057">
              <w:rPr>
                <w:rFonts w:eastAsia="Times New Roman" w:cs="Arial"/>
                <w:b/>
                <w:bCs/>
                <w:sz w:val="16"/>
                <w:szCs w:val="16"/>
                <w:lang w:eastAsia="es-MX"/>
              </w:rPr>
              <w:t>2013-2018</w:t>
            </w:r>
          </w:p>
        </w:tc>
        <w:tc>
          <w:tcPr>
            <w:tcW w:w="560" w:type="pct"/>
            <w:tcBorders>
              <w:bottom w:val="single" w:sz="6" w:space="0" w:color="008000"/>
            </w:tcBorders>
            <w:shd w:val="clear" w:color="auto" w:fill="auto"/>
            <w:noWrap/>
            <w:hideMark/>
          </w:tcPr>
          <w:p w:rsidR="00631CB8" w:rsidRPr="002C1057" w:rsidRDefault="00631CB8" w:rsidP="005529BE">
            <w:pPr>
              <w:spacing w:before="20" w:after="20" w:line="240" w:lineRule="auto"/>
              <w:ind w:firstLine="0"/>
              <w:jc w:val="center"/>
              <w:rPr>
                <w:rFonts w:eastAsia="Times New Roman" w:cs="Arial"/>
                <w:b/>
                <w:bCs/>
                <w:sz w:val="16"/>
                <w:szCs w:val="16"/>
                <w:lang w:eastAsia="es-MX"/>
              </w:rPr>
            </w:pPr>
            <w:r w:rsidRPr="002C1057">
              <w:rPr>
                <w:rFonts w:eastAsia="Times New Roman" w:cs="Arial"/>
                <w:b/>
                <w:bCs/>
                <w:sz w:val="16"/>
                <w:szCs w:val="16"/>
                <w:lang w:eastAsia="es-MX"/>
              </w:rPr>
              <w:t>2019-2040</w:t>
            </w:r>
          </w:p>
        </w:tc>
        <w:tc>
          <w:tcPr>
            <w:tcW w:w="588" w:type="pct"/>
            <w:tcBorders>
              <w:bottom w:val="single" w:sz="6" w:space="0" w:color="008000"/>
            </w:tcBorders>
            <w:shd w:val="clear" w:color="auto" w:fill="auto"/>
            <w:noWrap/>
            <w:hideMark/>
          </w:tcPr>
          <w:p w:rsidR="00631CB8" w:rsidRPr="002C1057" w:rsidRDefault="00631CB8" w:rsidP="005529BE">
            <w:pPr>
              <w:spacing w:before="20" w:after="20" w:line="240" w:lineRule="auto"/>
              <w:ind w:firstLine="0"/>
              <w:jc w:val="center"/>
              <w:rPr>
                <w:rFonts w:eastAsia="Times New Roman" w:cs="Arial"/>
                <w:b/>
                <w:bCs/>
                <w:sz w:val="16"/>
                <w:szCs w:val="16"/>
                <w:lang w:eastAsia="es-MX"/>
              </w:rPr>
            </w:pPr>
            <w:r w:rsidRPr="002C1057">
              <w:rPr>
                <w:rFonts w:eastAsia="Times New Roman" w:cs="Arial"/>
                <w:b/>
                <w:bCs/>
                <w:sz w:val="16"/>
                <w:szCs w:val="16"/>
                <w:lang w:eastAsia="es-MX"/>
              </w:rPr>
              <w:t>Total</w:t>
            </w:r>
          </w:p>
        </w:tc>
      </w:tr>
      <w:tr w:rsidR="00631CB8" w:rsidRPr="002C1057" w:rsidTr="005529BE">
        <w:trPr>
          <w:trHeight w:val="255"/>
        </w:trPr>
        <w:tc>
          <w:tcPr>
            <w:tcW w:w="2621" w:type="pct"/>
            <w:shd w:val="clear" w:color="auto" w:fill="auto"/>
            <w:noWrap/>
            <w:hideMark/>
          </w:tcPr>
          <w:p w:rsidR="00631CB8" w:rsidRPr="002C1057" w:rsidRDefault="00631CB8" w:rsidP="005529BE">
            <w:pPr>
              <w:spacing w:before="20" w:after="20" w:line="240" w:lineRule="auto"/>
              <w:ind w:firstLine="0"/>
              <w:jc w:val="left"/>
              <w:rPr>
                <w:rFonts w:eastAsia="Times New Roman" w:cs="Arial"/>
                <w:b/>
                <w:bCs/>
                <w:sz w:val="16"/>
                <w:szCs w:val="16"/>
                <w:lang w:eastAsia="es-MX"/>
              </w:rPr>
            </w:pPr>
            <w:r w:rsidRPr="002C1057">
              <w:rPr>
                <w:rFonts w:eastAsia="Times New Roman" w:cs="Arial"/>
                <w:b/>
                <w:bCs/>
                <w:sz w:val="16"/>
                <w:szCs w:val="16"/>
                <w:lang w:eastAsia="es-MX"/>
              </w:rPr>
              <w:t>Investigación y tecnología de adaptación y mitigación a sequías</w:t>
            </w:r>
          </w:p>
        </w:tc>
        <w:tc>
          <w:tcPr>
            <w:tcW w:w="671" w:type="pct"/>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$1,000.00</w:t>
            </w:r>
          </w:p>
        </w:tc>
        <w:tc>
          <w:tcPr>
            <w:tcW w:w="560" w:type="pct"/>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$1,000.00</w:t>
            </w:r>
          </w:p>
        </w:tc>
        <w:tc>
          <w:tcPr>
            <w:tcW w:w="560" w:type="pct"/>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$3,000.00</w:t>
            </w:r>
          </w:p>
        </w:tc>
        <w:tc>
          <w:tcPr>
            <w:tcW w:w="588" w:type="pct"/>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$5,000.00</w:t>
            </w:r>
          </w:p>
        </w:tc>
      </w:tr>
      <w:tr w:rsidR="00631CB8" w:rsidRPr="002C1057" w:rsidTr="005529BE">
        <w:trPr>
          <w:trHeight w:val="255"/>
        </w:trPr>
        <w:tc>
          <w:tcPr>
            <w:tcW w:w="2621" w:type="pct"/>
            <w:shd w:val="clear" w:color="auto" w:fill="auto"/>
            <w:noWrap/>
            <w:hideMark/>
          </w:tcPr>
          <w:p w:rsidR="00631CB8" w:rsidRPr="002C1057" w:rsidRDefault="00631CB8" w:rsidP="005529BE">
            <w:pPr>
              <w:spacing w:before="20" w:after="20" w:line="240" w:lineRule="auto"/>
              <w:ind w:firstLine="0"/>
              <w:jc w:val="left"/>
              <w:rPr>
                <w:rFonts w:eastAsia="Times New Roman" w:cs="Arial"/>
                <w:sz w:val="16"/>
                <w:szCs w:val="16"/>
                <w:lang w:eastAsia="es-MX"/>
              </w:rPr>
            </w:pPr>
            <w:r w:rsidRPr="002C1057">
              <w:rPr>
                <w:rFonts w:eastAsia="Times New Roman" w:cs="Arial"/>
                <w:sz w:val="16"/>
                <w:szCs w:val="16"/>
                <w:lang w:eastAsia="es-MX"/>
              </w:rPr>
              <w:t>Investigación</w:t>
            </w:r>
          </w:p>
        </w:tc>
        <w:tc>
          <w:tcPr>
            <w:tcW w:w="671" w:type="pct"/>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$1,000.00</w:t>
            </w:r>
          </w:p>
        </w:tc>
        <w:tc>
          <w:tcPr>
            <w:tcW w:w="560" w:type="pct"/>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$1,000.00</w:t>
            </w:r>
          </w:p>
        </w:tc>
        <w:tc>
          <w:tcPr>
            <w:tcW w:w="560" w:type="pct"/>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$3,000.00</w:t>
            </w:r>
          </w:p>
        </w:tc>
        <w:tc>
          <w:tcPr>
            <w:tcW w:w="588" w:type="pct"/>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$5,000.00</w:t>
            </w:r>
          </w:p>
        </w:tc>
      </w:tr>
      <w:tr w:rsidR="00631CB8" w:rsidRPr="002C1057" w:rsidTr="005529BE">
        <w:trPr>
          <w:trHeight w:val="255"/>
        </w:trPr>
        <w:tc>
          <w:tcPr>
            <w:tcW w:w="2621" w:type="pct"/>
            <w:shd w:val="clear" w:color="auto" w:fill="auto"/>
            <w:noWrap/>
            <w:hideMark/>
          </w:tcPr>
          <w:p w:rsidR="00631CB8" w:rsidRPr="002C1057" w:rsidRDefault="00631CB8" w:rsidP="005529BE">
            <w:pPr>
              <w:spacing w:before="20" w:after="20" w:line="240" w:lineRule="auto"/>
              <w:ind w:firstLine="0"/>
              <w:jc w:val="left"/>
              <w:rPr>
                <w:rFonts w:eastAsia="Times New Roman" w:cs="Arial"/>
                <w:b/>
                <w:bCs/>
                <w:sz w:val="16"/>
                <w:szCs w:val="16"/>
                <w:lang w:eastAsia="es-MX"/>
              </w:rPr>
            </w:pPr>
            <w:r w:rsidRPr="002C1057">
              <w:rPr>
                <w:rFonts w:eastAsia="Times New Roman" w:cs="Arial"/>
                <w:b/>
                <w:bCs/>
                <w:sz w:val="16"/>
                <w:szCs w:val="16"/>
                <w:lang w:eastAsia="es-MX"/>
              </w:rPr>
              <w:t>Organización de usuarios</w:t>
            </w:r>
          </w:p>
        </w:tc>
        <w:tc>
          <w:tcPr>
            <w:tcW w:w="671" w:type="pct"/>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$396.09</w:t>
            </w:r>
          </w:p>
        </w:tc>
        <w:tc>
          <w:tcPr>
            <w:tcW w:w="560" w:type="pct"/>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$1,188.27</w:t>
            </w:r>
          </w:p>
        </w:tc>
        <w:tc>
          <w:tcPr>
            <w:tcW w:w="560" w:type="pct"/>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$4,415.64</w:t>
            </w:r>
          </w:p>
        </w:tc>
        <w:tc>
          <w:tcPr>
            <w:tcW w:w="588" w:type="pct"/>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$6,000.00</w:t>
            </w:r>
          </w:p>
        </w:tc>
      </w:tr>
      <w:tr w:rsidR="00631CB8" w:rsidRPr="002C1057" w:rsidTr="005529BE">
        <w:trPr>
          <w:trHeight w:val="255"/>
        </w:trPr>
        <w:tc>
          <w:tcPr>
            <w:tcW w:w="2621" w:type="pct"/>
            <w:shd w:val="clear" w:color="auto" w:fill="auto"/>
            <w:noWrap/>
            <w:hideMark/>
          </w:tcPr>
          <w:p w:rsidR="00631CB8" w:rsidRPr="002C1057" w:rsidRDefault="00631CB8" w:rsidP="005529BE">
            <w:pPr>
              <w:spacing w:before="20" w:after="20" w:line="240" w:lineRule="auto"/>
              <w:ind w:firstLine="0"/>
              <w:jc w:val="left"/>
              <w:rPr>
                <w:rFonts w:eastAsia="Times New Roman" w:cs="Arial"/>
                <w:sz w:val="16"/>
                <w:szCs w:val="16"/>
                <w:lang w:eastAsia="es-MX"/>
              </w:rPr>
            </w:pPr>
            <w:r w:rsidRPr="002C1057">
              <w:rPr>
                <w:rFonts w:eastAsia="Times New Roman" w:cs="Arial"/>
                <w:sz w:val="16"/>
                <w:szCs w:val="16"/>
                <w:lang w:eastAsia="es-MX"/>
              </w:rPr>
              <w:t>Capacitación</w:t>
            </w:r>
          </w:p>
        </w:tc>
        <w:tc>
          <w:tcPr>
            <w:tcW w:w="671" w:type="pct"/>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$396.09</w:t>
            </w:r>
          </w:p>
        </w:tc>
        <w:tc>
          <w:tcPr>
            <w:tcW w:w="560" w:type="pct"/>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$1,188.27</w:t>
            </w:r>
          </w:p>
        </w:tc>
        <w:tc>
          <w:tcPr>
            <w:tcW w:w="560" w:type="pct"/>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$4,415.64</w:t>
            </w:r>
          </w:p>
        </w:tc>
        <w:tc>
          <w:tcPr>
            <w:tcW w:w="588" w:type="pct"/>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$6,000.00</w:t>
            </w:r>
          </w:p>
        </w:tc>
      </w:tr>
      <w:tr w:rsidR="00631CB8" w:rsidRPr="002C1057" w:rsidTr="005529BE">
        <w:trPr>
          <w:trHeight w:val="255"/>
        </w:trPr>
        <w:tc>
          <w:tcPr>
            <w:tcW w:w="2621" w:type="pct"/>
            <w:shd w:val="clear" w:color="auto" w:fill="auto"/>
            <w:noWrap/>
            <w:hideMark/>
          </w:tcPr>
          <w:p w:rsidR="00631CB8" w:rsidRPr="002C1057" w:rsidRDefault="00631CB8" w:rsidP="005529BE">
            <w:pPr>
              <w:spacing w:before="20" w:after="20" w:line="240" w:lineRule="auto"/>
              <w:ind w:firstLine="0"/>
              <w:jc w:val="left"/>
              <w:rPr>
                <w:rFonts w:eastAsia="Times New Roman" w:cs="Arial"/>
                <w:b/>
                <w:bCs/>
                <w:sz w:val="16"/>
                <w:szCs w:val="16"/>
                <w:lang w:eastAsia="es-MX"/>
              </w:rPr>
            </w:pPr>
            <w:r w:rsidRPr="002C1057">
              <w:rPr>
                <w:rFonts w:eastAsia="Times New Roman" w:cs="Arial"/>
                <w:b/>
                <w:bCs/>
                <w:sz w:val="16"/>
                <w:szCs w:val="16"/>
                <w:lang w:eastAsia="es-MX"/>
              </w:rPr>
              <w:t xml:space="preserve">Protección ambiental y civil </w:t>
            </w:r>
          </w:p>
        </w:tc>
        <w:tc>
          <w:tcPr>
            <w:tcW w:w="671" w:type="pct"/>
            <w:tcBorders>
              <w:bottom w:val="nil"/>
            </w:tcBorders>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$2,200.00</w:t>
            </w:r>
          </w:p>
        </w:tc>
        <w:tc>
          <w:tcPr>
            <w:tcW w:w="560" w:type="pct"/>
            <w:tcBorders>
              <w:bottom w:val="nil"/>
            </w:tcBorders>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$2,200.00</w:t>
            </w:r>
          </w:p>
        </w:tc>
        <w:tc>
          <w:tcPr>
            <w:tcW w:w="560" w:type="pct"/>
            <w:tcBorders>
              <w:bottom w:val="nil"/>
            </w:tcBorders>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$6,600.00</w:t>
            </w:r>
          </w:p>
        </w:tc>
        <w:tc>
          <w:tcPr>
            <w:tcW w:w="588" w:type="pct"/>
            <w:tcBorders>
              <w:bottom w:val="nil"/>
            </w:tcBorders>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$11,000.00</w:t>
            </w:r>
          </w:p>
        </w:tc>
      </w:tr>
      <w:tr w:rsidR="00631CB8" w:rsidRPr="002C1057" w:rsidTr="005529BE">
        <w:trPr>
          <w:trHeight w:val="255"/>
        </w:trPr>
        <w:tc>
          <w:tcPr>
            <w:tcW w:w="2621" w:type="pct"/>
            <w:shd w:val="clear" w:color="auto" w:fill="auto"/>
            <w:noWrap/>
            <w:hideMark/>
          </w:tcPr>
          <w:p w:rsidR="00631CB8" w:rsidRPr="002C1057" w:rsidRDefault="00631CB8" w:rsidP="005529BE">
            <w:pPr>
              <w:spacing w:before="20" w:after="20" w:line="240" w:lineRule="auto"/>
              <w:ind w:firstLine="0"/>
              <w:jc w:val="left"/>
              <w:rPr>
                <w:rFonts w:eastAsia="Times New Roman" w:cs="Arial"/>
                <w:sz w:val="16"/>
                <w:szCs w:val="16"/>
                <w:lang w:eastAsia="es-MX"/>
              </w:rPr>
            </w:pPr>
            <w:r w:rsidRPr="002C1057">
              <w:rPr>
                <w:rFonts w:eastAsia="Times New Roman" w:cs="Arial"/>
                <w:sz w:val="16"/>
                <w:szCs w:val="16"/>
                <w:lang w:eastAsia="es-MX"/>
              </w:rPr>
              <w:t>Estudios y proyectos</w:t>
            </w:r>
          </w:p>
        </w:tc>
        <w:tc>
          <w:tcPr>
            <w:tcW w:w="671" w:type="pct"/>
            <w:tcBorders>
              <w:top w:val="nil"/>
              <w:bottom w:val="single" w:sz="4" w:space="0" w:color="auto"/>
            </w:tcBorders>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$2,200.00</w:t>
            </w:r>
          </w:p>
        </w:tc>
        <w:tc>
          <w:tcPr>
            <w:tcW w:w="560" w:type="pct"/>
            <w:tcBorders>
              <w:top w:val="nil"/>
              <w:bottom w:val="single" w:sz="4" w:space="0" w:color="auto"/>
            </w:tcBorders>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$2,200.00</w:t>
            </w:r>
          </w:p>
        </w:tc>
        <w:tc>
          <w:tcPr>
            <w:tcW w:w="560" w:type="pct"/>
            <w:tcBorders>
              <w:top w:val="nil"/>
              <w:bottom w:val="single" w:sz="4" w:space="0" w:color="auto"/>
            </w:tcBorders>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$6,600.00</w:t>
            </w:r>
          </w:p>
        </w:tc>
        <w:tc>
          <w:tcPr>
            <w:tcW w:w="588" w:type="pct"/>
            <w:tcBorders>
              <w:top w:val="nil"/>
              <w:bottom w:val="single" w:sz="4" w:space="0" w:color="auto"/>
            </w:tcBorders>
            <w:shd w:val="clear" w:color="auto" w:fill="auto"/>
            <w:noWrap/>
            <w:hideMark/>
          </w:tcPr>
          <w:p w:rsidR="00631CB8" w:rsidRPr="002C1057" w:rsidRDefault="00631CB8" w:rsidP="005529BE">
            <w:pPr>
              <w:spacing w:before="20" w:after="20" w:line="240" w:lineRule="auto"/>
              <w:ind w:firstLine="0"/>
              <w:jc w:val="right"/>
              <w:rPr>
                <w:rFonts w:eastAsia="Times New Roman" w:cs="Arial"/>
                <w:sz w:val="16"/>
                <w:szCs w:val="16"/>
                <w:lang w:eastAsia="es-MX"/>
              </w:rPr>
            </w:pPr>
            <w:r w:rsidRPr="002C1057">
              <w:rPr>
                <w:rFonts w:eastAsia="Times New Roman" w:cs="Arial"/>
                <w:sz w:val="16"/>
                <w:szCs w:val="16"/>
                <w:lang w:eastAsia="es-MX"/>
              </w:rPr>
              <w:t>$11,000.00</w:t>
            </w:r>
          </w:p>
        </w:tc>
      </w:tr>
      <w:tr w:rsidR="00631CB8" w:rsidRPr="002C1057" w:rsidTr="005529BE">
        <w:trPr>
          <w:trHeight w:val="255"/>
        </w:trPr>
        <w:tc>
          <w:tcPr>
            <w:tcW w:w="2621" w:type="pct"/>
            <w:shd w:val="clear" w:color="auto" w:fill="auto"/>
            <w:noWrap/>
            <w:hideMark/>
          </w:tcPr>
          <w:p w:rsidR="00631CB8" w:rsidRPr="002C1057" w:rsidRDefault="00631CB8" w:rsidP="005529BE">
            <w:pPr>
              <w:spacing w:before="20" w:after="20" w:line="240" w:lineRule="auto"/>
              <w:ind w:firstLine="0"/>
              <w:jc w:val="center"/>
              <w:rPr>
                <w:rFonts w:eastAsia="Times New Roman" w:cs="Arial"/>
                <w:b/>
                <w:bCs/>
                <w:sz w:val="16"/>
                <w:szCs w:val="16"/>
                <w:lang w:eastAsia="es-MX"/>
              </w:rPr>
            </w:pPr>
            <w:r w:rsidRPr="002C1057">
              <w:rPr>
                <w:rFonts w:eastAsia="Times New Roman" w:cs="Arial"/>
                <w:b/>
                <w:bCs/>
                <w:sz w:val="16"/>
                <w:szCs w:val="16"/>
                <w:lang w:eastAsia="es-MX"/>
              </w:rPr>
              <w:t>Total General</w:t>
            </w:r>
          </w:p>
        </w:tc>
        <w:tc>
          <w:tcPr>
            <w:tcW w:w="671" w:type="pct"/>
            <w:tcBorders>
              <w:top w:val="single" w:sz="4" w:space="0" w:color="auto"/>
            </w:tcBorders>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$3,596.09</w:t>
            </w:r>
          </w:p>
        </w:tc>
        <w:tc>
          <w:tcPr>
            <w:tcW w:w="560" w:type="pct"/>
            <w:tcBorders>
              <w:top w:val="single" w:sz="4" w:space="0" w:color="auto"/>
            </w:tcBorders>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$4,388.27</w:t>
            </w:r>
          </w:p>
        </w:tc>
        <w:tc>
          <w:tcPr>
            <w:tcW w:w="560" w:type="pct"/>
            <w:tcBorders>
              <w:top w:val="single" w:sz="4" w:space="0" w:color="auto"/>
            </w:tcBorders>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$14,015.64</w:t>
            </w:r>
          </w:p>
        </w:tc>
        <w:tc>
          <w:tcPr>
            <w:tcW w:w="588" w:type="pct"/>
            <w:tcBorders>
              <w:top w:val="single" w:sz="4" w:space="0" w:color="auto"/>
            </w:tcBorders>
            <w:shd w:val="clear" w:color="auto" w:fill="auto"/>
            <w:noWrap/>
            <w:hideMark/>
          </w:tcPr>
          <w:p w:rsidR="00631CB8" w:rsidRPr="002C1057" w:rsidRDefault="00631CB8" w:rsidP="005529BE">
            <w:pPr>
              <w:spacing w:before="20" w:after="20" w:line="240" w:lineRule="auto"/>
              <w:ind w:firstLine="0"/>
              <w:jc w:val="right"/>
              <w:rPr>
                <w:rFonts w:eastAsia="Times New Roman" w:cs="Arial"/>
                <w:b/>
                <w:bCs/>
                <w:sz w:val="16"/>
                <w:szCs w:val="16"/>
                <w:lang w:eastAsia="es-MX"/>
              </w:rPr>
            </w:pPr>
            <w:r w:rsidRPr="002C1057">
              <w:rPr>
                <w:rFonts w:eastAsia="Times New Roman" w:cs="Arial"/>
                <w:b/>
                <w:bCs/>
                <w:sz w:val="16"/>
                <w:szCs w:val="16"/>
                <w:lang w:eastAsia="es-MX"/>
              </w:rPr>
              <w:t>$22,000.00</w:t>
            </w:r>
          </w:p>
        </w:tc>
      </w:tr>
    </w:tbl>
    <w:p w:rsidR="00631CB8" w:rsidRPr="005419B7" w:rsidRDefault="00631CB8" w:rsidP="00631CB8">
      <w:pPr>
        <w:rPr>
          <w:sz w:val="20"/>
        </w:rPr>
      </w:pPr>
    </w:p>
    <w:p w:rsidR="00631CB8" w:rsidRPr="005419B7" w:rsidRDefault="00631CB8" w:rsidP="00631CB8">
      <w:pPr>
        <w:numPr>
          <w:ilvl w:val="0"/>
          <w:numId w:val="82"/>
        </w:numPr>
        <w:rPr>
          <w:b/>
          <w:i/>
          <w:sz w:val="20"/>
        </w:rPr>
      </w:pPr>
      <w:r w:rsidRPr="005419B7">
        <w:rPr>
          <w:b/>
          <w:i/>
          <w:sz w:val="20"/>
        </w:rPr>
        <w:t xml:space="preserve">Objetivo Estratégico 7:Evaluar los efectos del cambio climático e hidrológico global y local </w:t>
      </w:r>
    </w:p>
    <w:p w:rsidR="00631CB8" w:rsidRPr="005419B7" w:rsidRDefault="00631CB8" w:rsidP="00631CB8">
      <w:pPr>
        <w:rPr>
          <w:sz w:val="20"/>
        </w:rPr>
      </w:pPr>
      <w:r w:rsidRPr="005419B7">
        <w:rPr>
          <w:sz w:val="20"/>
        </w:rPr>
        <w:t xml:space="preserve">Uno de las mayores amenazas para la continuidad del ciclo hidrológico tanto en el país como en el mundo, es el cambio de comportamiento de las variables climáticas que influyen directamente en las láminas de lluvia y las tasas tanto de evaporación como de evapotranspiración. La zona de influencia del acuífero Huamantla-Libres Oriental-Perote no es la excepción. Tales amenazas implican cambios en la fenología de los cultivos, los cuales demandarán mayores volúmenes de agua, y por ende, la presión sobre el acuífero podrá ser mayor que en la actualidad. Además, las demandas de agua de uso público-urbano se incrementaran con las mismas consecuencias anteriores hacia el acuífero. </w:t>
      </w:r>
    </w:p>
    <w:p w:rsidR="00631CB8" w:rsidRPr="005419B7" w:rsidRDefault="00631CB8" w:rsidP="00631CB8">
      <w:pPr>
        <w:rPr>
          <w:sz w:val="20"/>
        </w:rPr>
      </w:pPr>
      <w:r w:rsidRPr="005419B7">
        <w:rPr>
          <w:sz w:val="20"/>
        </w:rPr>
        <w:t>Estas son solo dos razones en los dos principales usuarios del agua subterránea que direccionan la atención hacia un problema poco estudiado a nivel local hasta el momento, sin embargo, dado el nivel de complejidad y el tipo de alcances del COTAS, no se recomienda sino promover el estudios a nivel de cuenca más que desarrollarlos propiamente.</w:t>
      </w:r>
    </w:p>
    <w:p w:rsidR="00631CB8" w:rsidRDefault="00631CB8" w:rsidP="00631CB8">
      <w:pPr>
        <w:rPr>
          <w:sz w:val="20"/>
        </w:rPr>
      </w:pPr>
      <w:r w:rsidRPr="005419B7">
        <w:rPr>
          <w:sz w:val="20"/>
        </w:rPr>
        <w:t xml:space="preserve">Para este caso, la difusión de la problemática que se deriva del cambio climático hacia el interior del COTAS, así como del apoyo para la ejecución de dichos estudios, son tareas pendientes en los cuales el COTAS puede participar con información específica y coordinación necesaria. </w:t>
      </w:r>
    </w:p>
    <w:p w:rsidR="0055340B" w:rsidRPr="00880A42" w:rsidRDefault="0055340B" w:rsidP="00880A42">
      <w:pPr>
        <w:pStyle w:val="tabla1cap8"/>
        <w:ind w:left="0" w:firstLine="0"/>
      </w:pPr>
      <w:r w:rsidRPr="00880A42">
        <w:t>Inversión requerida para el cumplimiento del Objetivo 7</w:t>
      </w:r>
    </w:p>
    <w:tbl>
      <w:tblPr>
        <w:tblW w:w="4966" w:type="pct"/>
        <w:tblBorders>
          <w:top w:val="single" w:sz="12" w:space="0" w:color="008000"/>
          <w:bottom w:val="single" w:sz="12" w:space="0" w:color="008000"/>
        </w:tblBorders>
        <w:tblLayout w:type="fixed"/>
        <w:tblLook w:val="04A0"/>
      </w:tblPr>
      <w:tblGrid>
        <w:gridCol w:w="5638"/>
        <w:gridCol w:w="992"/>
        <w:gridCol w:w="992"/>
        <w:gridCol w:w="1133"/>
        <w:gridCol w:w="1082"/>
      </w:tblGrid>
      <w:tr w:rsidR="00631CB8" w:rsidRPr="005039CF" w:rsidTr="005529BE">
        <w:trPr>
          <w:trHeight w:val="255"/>
        </w:trPr>
        <w:tc>
          <w:tcPr>
            <w:tcW w:w="2866"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Descripción</w:t>
            </w:r>
          </w:p>
        </w:tc>
        <w:tc>
          <w:tcPr>
            <w:tcW w:w="504"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2011-2012</w:t>
            </w:r>
          </w:p>
        </w:tc>
        <w:tc>
          <w:tcPr>
            <w:tcW w:w="504"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2013-2018</w:t>
            </w:r>
          </w:p>
        </w:tc>
        <w:tc>
          <w:tcPr>
            <w:tcW w:w="576"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2019-2040</w:t>
            </w:r>
          </w:p>
        </w:tc>
        <w:tc>
          <w:tcPr>
            <w:tcW w:w="550"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Total</w:t>
            </w:r>
          </w:p>
        </w:tc>
      </w:tr>
      <w:tr w:rsidR="00631CB8" w:rsidRPr="005039CF" w:rsidTr="005529BE">
        <w:trPr>
          <w:trHeight w:val="255"/>
        </w:trPr>
        <w:tc>
          <w:tcPr>
            <w:tcW w:w="2866"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Definición de soluciones para el deterioro ambiental de elementos directamente relacionados con el agua</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$2,000.00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$0.00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$0.00</w:t>
            </w:r>
          </w:p>
        </w:tc>
        <w:tc>
          <w:tcPr>
            <w:tcW w:w="550"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$2,000.00</w:t>
            </w:r>
          </w:p>
        </w:tc>
      </w:tr>
      <w:tr w:rsidR="00631CB8" w:rsidRPr="005039CF" w:rsidTr="005529BE">
        <w:trPr>
          <w:trHeight w:val="255"/>
        </w:trPr>
        <w:tc>
          <w:tcPr>
            <w:tcW w:w="2866"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Definición de soluciones para el deterioro ambiental de elementos directamente relacionados con el agua</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$2,000.00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$0.00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$0.00</w:t>
            </w:r>
          </w:p>
        </w:tc>
        <w:tc>
          <w:tcPr>
            <w:tcW w:w="550"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$2,000.00</w:t>
            </w:r>
          </w:p>
        </w:tc>
      </w:tr>
      <w:tr w:rsidR="00631CB8" w:rsidRPr="005039CF" w:rsidTr="005529BE">
        <w:trPr>
          <w:trHeight w:val="255"/>
        </w:trPr>
        <w:tc>
          <w:tcPr>
            <w:tcW w:w="2866"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Investigación del cambio climático y su incidencia en el ciclo hidrológico</w:t>
            </w:r>
          </w:p>
        </w:tc>
        <w:tc>
          <w:tcPr>
            <w:tcW w:w="504"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$2,450.00</w:t>
            </w:r>
          </w:p>
        </w:tc>
        <w:tc>
          <w:tcPr>
            <w:tcW w:w="504"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$100.00</w:t>
            </w:r>
          </w:p>
        </w:tc>
        <w:tc>
          <w:tcPr>
            <w:tcW w:w="576"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$1,050.00</w:t>
            </w:r>
          </w:p>
        </w:tc>
        <w:tc>
          <w:tcPr>
            <w:tcW w:w="550"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$3,600.00</w:t>
            </w:r>
          </w:p>
        </w:tc>
      </w:tr>
      <w:tr w:rsidR="00631CB8" w:rsidRPr="005039CF" w:rsidTr="005529BE">
        <w:trPr>
          <w:trHeight w:val="255"/>
        </w:trPr>
        <w:tc>
          <w:tcPr>
            <w:tcW w:w="2866"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Investigación del cambio climático y su incidencia en el ciclo hidrológico</w:t>
            </w:r>
          </w:p>
        </w:tc>
        <w:tc>
          <w:tcPr>
            <w:tcW w:w="504"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$2,450.00</w:t>
            </w:r>
          </w:p>
        </w:tc>
        <w:tc>
          <w:tcPr>
            <w:tcW w:w="504"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$100.00</w:t>
            </w:r>
          </w:p>
        </w:tc>
        <w:tc>
          <w:tcPr>
            <w:tcW w:w="576"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$1,050.00</w:t>
            </w:r>
          </w:p>
        </w:tc>
        <w:tc>
          <w:tcPr>
            <w:tcW w:w="550"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$3,600.00</w:t>
            </w:r>
          </w:p>
        </w:tc>
      </w:tr>
      <w:tr w:rsidR="00631CB8" w:rsidRPr="005039CF" w:rsidTr="005529BE">
        <w:trPr>
          <w:trHeight w:val="255"/>
        </w:trPr>
        <w:tc>
          <w:tcPr>
            <w:tcW w:w="2866"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Total General</w:t>
            </w:r>
          </w:p>
        </w:tc>
        <w:tc>
          <w:tcPr>
            <w:tcW w:w="504"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$4,450.00</w:t>
            </w:r>
          </w:p>
        </w:tc>
        <w:tc>
          <w:tcPr>
            <w:tcW w:w="504"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$100.00</w:t>
            </w:r>
          </w:p>
        </w:tc>
        <w:tc>
          <w:tcPr>
            <w:tcW w:w="576"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$1,050.00</w:t>
            </w:r>
          </w:p>
        </w:tc>
        <w:tc>
          <w:tcPr>
            <w:tcW w:w="550"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$5,600.00</w:t>
            </w:r>
          </w:p>
        </w:tc>
      </w:tr>
    </w:tbl>
    <w:p w:rsidR="00631CB8" w:rsidRPr="005419B7" w:rsidRDefault="00631CB8" w:rsidP="00631CB8">
      <w:pPr>
        <w:rPr>
          <w:sz w:val="20"/>
        </w:rPr>
      </w:pPr>
    </w:p>
    <w:p w:rsidR="00631CB8" w:rsidRPr="005419B7" w:rsidRDefault="00631CB8" w:rsidP="00631CB8">
      <w:pPr>
        <w:numPr>
          <w:ilvl w:val="0"/>
          <w:numId w:val="82"/>
        </w:numPr>
        <w:rPr>
          <w:b/>
          <w:i/>
          <w:sz w:val="20"/>
        </w:rPr>
      </w:pPr>
      <w:r w:rsidRPr="005419B7">
        <w:rPr>
          <w:b/>
          <w:i/>
          <w:sz w:val="20"/>
        </w:rPr>
        <w:t>Objetivo Estratégico 8: Crear una cultura contributiva y de cumplimiento a la LAN en materia administrativa</w:t>
      </w:r>
    </w:p>
    <w:p w:rsidR="00631CB8" w:rsidRDefault="00631CB8" w:rsidP="00631CB8">
      <w:pPr>
        <w:rPr>
          <w:sz w:val="20"/>
        </w:rPr>
      </w:pPr>
      <w:r w:rsidRPr="005419B7">
        <w:rPr>
          <w:sz w:val="20"/>
        </w:rPr>
        <w:t xml:space="preserve">Diversas circunstancias pasadas y presentes han ocasionado que los niveles de eficiencia administrativa en la gestión del recurso hídrico tengan importantes áreas de oportunidad para el  incremento en cuanto a mejorar sus resultados. Acciones como la actualización del padrón de usuarios, conocimiento de patrones de consumo, macro y </w:t>
      </w:r>
      <w:proofErr w:type="spellStart"/>
      <w:r w:rsidRPr="005419B7">
        <w:rPr>
          <w:sz w:val="20"/>
        </w:rPr>
        <w:t>micromedición</w:t>
      </w:r>
      <w:proofErr w:type="spellEnd"/>
      <w:r w:rsidRPr="005419B7">
        <w:rPr>
          <w:sz w:val="20"/>
        </w:rPr>
        <w:t xml:space="preserve">, asistencia al contribuyente y eficiencia en la aplicación de la legislación aplicable, marcan un entorno poco favorable para la lograr una gestión y administración óptima del recurso agua en la zona. Por ello, su atención reviste de importancia dado que representa el esfuerzo toral para poner en marcha diversos mecanismos de solución como los presentados en este documento. </w:t>
      </w:r>
    </w:p>
    <w:p w:rsidR="0055340B" w:rsidRPr="00880A42" w:rsidRDefault="0055340B" w:rsidP="00880A42">
      <w:pPr>
        <w:pStyle w:val="tabla1cap8"/>
        <w:ind w:left="0" w:firstLine="0"/>
      </w:pPr>
      <w:r w:rsidRPr="00880A42">
        <w:t>Inversión requerida para el cumplimiento del Objetivo 8</w:t>
      </w:r>
    </w:p>
    <w:tbl>
      <w:tblPr>
        <w:tblW w:w="4970" w:type="pct"/>
        <w:tblBorders>
          <w:top w:val="single" w:sz="12" w:space="0" w:color="008000"/>
          <w:bottom w:val="single" w:sz="12" w:space="0" w:color="008000"/>
        </w:tblBorders>
        <w:tblLayout w:type="fixed"/>
        <w:tblLook w:val="04A0"/>
      </w:tblPr>
      <w:tblGrid>
        <w:gridCol w:w="5638"/>
        <w:gridCol w:w="992"/>
        <w:gridCol w:w="992"/>
        <w:gridCol w:w="1134"/>
        <w:gridCol w:w="1089"/>
      </w:tblGrid>
      <w:tr w:rsidR="00631CB8" w:rsidRPr="005039CF" w:rsidTr="005529BE">
        <w:trPr>
          <w:trHeight w:val="255"/>
        </w:trPr>
        <w:tc>
          <w:tcPr>
            <w:tcW w:w="2863"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Descripción</w:t>
            </w:r>
          </w:p>
        </w:tc>
        <w:tc>
          <w:tcPr>
            <w:tcW w:w="504"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2011-2012</w:t>
            </w:r>
          </w:p>
        </w:tc>
        <w:tc>
          <w:tcPr>
            <w:tcW w:w="504"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2013-2018</w:t>
            </w:r>
          </w:p>
        </w:tc>
        <w:tc>
          <w:tcPr>
            <w:tcW w:w="576"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2019-2040</w:t>
            </w:r>
          </w:p>
        </w:tc>
        <w:tc>
          <w:tcPr>
            <w:tcW w:w="553" w:type="pct"/>
            <w:tcBorders>
              <w:bottom w:val="single" w:sz="6" w:space="0" w:color="008000"/>
            </w:tcBorders>
            <w:shd w:val="clear" w:color="auto" w:fill="auto"/>
            <w:noWrap/>
            <w:hideMark/>
          </w:tcPr>
          <w:p w:rsidR="00631CB8" w:rsidRPr="005039CF" w:rsidRDefault="00631CB8" w:rsidP="005529BE">
            <w:pPr>
              <w:spacing w:before="20" w:after="20" w:line="240" w:lineRule="auto"/>
              <w:ind w:firstLine="0"/>
              <w:jc w:val="center"/>
              <w:rPr>
                <w:rFonts w:eastAsia="Times New Roman" w:cs="Arial"/>
                <w:b/>
                <w:bCs/>
                <w:sz w:val="16"/>
                <w:szCs w:val="16"/>
                <w:lang w:eastAsia="es-MX"/>
              </w:rPr>
            </w:pPr>
            <w:r w:rsidRPr="005039CF">
              <w:rPr>
                <w:rFonts w:eastAsia="Times New Roman" w:cs="Arial"/>
                <w:b/>
                <w:bCs/>
                <w:sz w:val="16"/>
                <w:szCs w:val="16"/>
                <w:lang w:eastAsia="es-MX"/>
              </w:rPr>
              <w:t>Total</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Actualizar periódicamente los padrones de usuarios y contribuyentes de las aguas nacionales</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$130.00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$130.00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$390.00</w:t>
            </w:r>
          </w:p>
        </w:tc>
        <w:tc>
          <w:tcPr>
            <w:tcW w:w="553"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$650.00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Actualización del padrón de usuarios</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$130.00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$130.00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$390.00</w:t>
            </w:r>
          </w:p>
        </w:tc>
        <w:tc>
          <w:tcPr>
            <w:tcW w:w="55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$650.00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Establecer los mecanismos para llevar a cabo la medición de las aguas nacionales</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$2,340.00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$2,340.00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$7,020.00</w:t>
            </w:r>
          </w:p>
        </w:tc>
        <w:tc>
          <w:tcPr>
            <w:tcW w:w="553"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$11,700.00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Colocación de medidores volumétricos</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$2,340.00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$2,340.00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$7,020.00</w:t>
            </w:r>
          </w:p>
        </w:tc>
        <w:tc>
          <w:tcPr>
            <w:tcW w:w="55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$11,700.00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Establecer mecanismos y herramientas de orientación y asistencia al contribuyente de aguas nacionales y sus bienes públicos inherentes</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$200.00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$200.00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$600.00</w:t>
            </w:r>
          </w:p>
        </w:tc>
        <w:tc>
          <w:tcPr>
            <w:tcW w:w="553"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$1,000.00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Asistencia fiscal a los contribuyentes</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$200.00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$200.00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$600.00</w:t>
            </w:r>
          </w:p>
        </w:tc>
        <w:tc>
          <w:tcPr>
            <w:tcW w:w="55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$1,000.00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Fortalecer la aplicación de los mecanismos de control previstos en la Ley y vigilar la adecuada utilización de las asignaciones y concesiones de aguas nacionales y permisos de descargas de aguas residuales para propiciar un adecuado manejo y preservación del agua</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$408.00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$408.00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$1,224.00</w:t>
            </w:r>
          </w:p>
        </w:tc>
        <w:tc>
          <w:tcPr>
            <w:tcW w:w="553"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$2,040.00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Inspección de usuarios de aguas nacionales y de cauces</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$408.00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$408.00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$1,224.00</w:t>
            </w:r>
          </w:p>
        </w:tc>
        <w:tc>
          <w:tcPr>
            <w:tcW w:w="55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$2,040.00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Incrementar la presencia fiscal y administrativa entre contribuyentes de aguas nacionales y sus bienes públicos inherentes, mediante la práctica de visitas domiciliarias, además de las revisiones fiscales de gabinete que se practican</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$200.00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$200.00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$600.00</w:t>
            </w:r>
          </w:p>
        </w:tc>
        <w:tc>
          <w:tcPr>
            <w:tcW w:w="553"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$1,000.00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Aplicación efectiva de la normatividad</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$200.00</w:t>
            </w:r>
          </w:p>
        </w:tc>
        <w:tc>
          <w:tcPr>
            <w:tcW w:w="504"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$200.00</w:t>
            </w:r>
          </w:p>
        </w:tc>
        <w:tc>
          <w:tcPr>
            <w:tcW w:w="576"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$600.00</w:t>
            </w:r>
          </w:p>
        </w:tc>
        <w:tc>
          <w:tcPr>
            <w:tcW w:w="553" w:type="pct"/>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$1,000.00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b/>
                <w:bCs/>
                <w:sz w:val="16"/>
                <w:szCs w:val="16"/>
                <w:lang w:eastAsia="es-MX"/>
              </w:rPr>
            </w:pPr>
            <w:r w:rsidRPr="005039CF">
              <w:rPr>
                <w:rFonts w:eastAsia="Times New Roman" w:cs="Arial"/>
                <w:b/>
                <w:bCs/>
                <w:sz w:val="16"/>
                <w:szCs w:val="16"/>
                <w:lang w:eastAsia="es-MX"/>
              </w:rPr>
              <w:t>Revisar los esquemas recaudatorios en materia de aguas nacionales y particularmente de descargas de aguas residuales, para contribuir al saneamiento de las cuencas y acuíferos</w:t>
            </w:r>
          </w:p>
        </w:tc>
        <w:tc>
          <w:tcPr>
            <w:tcW w:w="504"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$300.00</w:t>
            </w:r>
          </w:p>
        </w:tc>
        <w:tc>
          <w:tcPr>
            <w:tcW w:w="504"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$300.00</w:t>
            </w:r>
          </w:p>
        </w:tc>
        <w:tc>
          <w:tcPr>
            <w:tcW w:w="576"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$900.00</w:t>
            </w:r>
          </w:p>
        </w:tc>
        <w:tc>
          <w:tcPr>
            <w:tcW w:w="553" w:type="pct"/>
            <w:tcBorders>
              <w:bottom w:val="nil"/>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$1,500.00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left"/>
              <w:rPr>
                <w:rFonts w:eastAsia="Times New Roman" w:cs="Arial"/>
                <w:sz w:val="16"/>
                <w:szCs w:val="16"/>
                <w:lang w:eastAsia="es-MX"/>
              </w:rPr>
            </w:pPr>
            <w:r w:rsidRPr="005039CF">
              <w:rPr>
                <w:rFonts w:eastAsia="Times New Roman" w:cs="Arial"/>
                <w:sz w:val="16"/>
                <w:szCs w:val="16"/>
                <w:lang w:eastAsia="es-MX"/>
              </w:rPr>
              <w:t>Incentivar programas recaudatorios que estimulan la inversión federal dentro del acuífero</w:t>
            </w:r>
          </w:p>
        </w:tc>
        <w:tc>
          <w:tcPr>
            <w:tcW w:w="504"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$300.00</w:t>
            </w:r>
          </w:p>
        </w:tc>
        <w:tc>
          <w:tcPr>
            <w:tcW w:w="504"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$300.00</w:t>
            </w:r>
          </w:p>
        </w:tc>
        <w:tc>
          <w:tcPr>
            <w:tcW w:w="576"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$900.00</w:t>
            </w:r>
          </w:p>
        </w:tc>
        <w:tc>
          <w:tcPr>
            <w:tcW w:w="553" w:type="pct"/>
            <w:tcBorders>
              <w:top w:val="nil"/>
              <w:bottom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sz w:val="16"/>
                <w:szCs w:val="16"/>
                <w:lang w:eastAsia="es-MX"/>
              </w:rPr>
            </w:pPr>
            <w:r w:rsidRPr="005039CF">
              <w:rPr>
                <w:rFonts w:eastAsia="Times New Roman" w:cs="Arial"/>
                <w:sz w:val="16"/>
                <w:szCs w:val="16"/>
                <w:lang w:eastAsia="es-MX"/>
              </w:rPr>
              <w:t>$1,500.00</w:t>
            </w:r>
          </w:p>
        </w:tc>
      </w:tr>
      <w:tr w:rsidR="00631CB8" w:rsidRPr="005039CF" w:rsidTr="005529BE">
        <w:trPr>
          <w:trHeight w:val="255"/>
        </w:trPr>
        <w:tc>
          <w:tcPr>
            <w:tcW w:w="2863" w:type="pct"/>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Total General</w:t>
            </w:r>
          </w:p>
        </w:tc>
        <w:tc>
          <w:tcPr>
            <w:tcW w:w="504"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$3,578.00</w:t>
            </w:r>
          </w:p>
        </w:tc>
        <w:tc>
          <w:tcPr>
            <w:tcW w:w="504"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$3,578.00</w:t>
            </w:r>
          </w:p>
        </w:tc>
        <w:tc>
          <w:tcPr>
            <w:tcW w:w="576"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$10,734.00</w:t>
            </w:r>
          </w:p>
        </w:tc>
        <w:tc>
          <w:tcPr>
            <w:tcW w:w="553" w:type="pct"/>
            <w:tcBorders>
              <w:top w:val="single" w:sz="4" w:space="0" w:color="auto"/>
            </w:tcBorders>
            <w:shd w:val="clear" w:color="auto" w:fill="auto"/>
            <w:noWrap/>
            <w:hideMark/>
          </w:tcPr>
          <w:p w:rsidR="00631CB8" w:rsidRPr="005039CF" w:rsidRDefault="00631CB8" w:rsidP="005529BE">
            <w:pPr>
              <w:spacing w:before="20" w:after="20" w:line="240" w:lineRule="auto"/>
              <w:ind w:firstLine="0"/>
              <w:jc w:val="right"/>
              <w:rPr>
                <w:rFonts w:eastAsia="Times New Roman" w:cs="Arial"/>
                <w:b/>
                <w:bCs/>
                <w:sz w:val="16"/>
                <w:szCs w:val="16"/>
                <w:lang w:eastAsia="es-MX"/>
              </w:rPr>
            </w:pPr>
            <w:r w:rsidRPr="005039CF">
              <w:rPr>
                <w:rFonts w:eastAsia="Times New Roman" w:cs="Arial"/>
                <w:b/>
                <w:bCs/>
                <w:sz w:val="16"/>
                <w:szCs w:val="16"/>
                <w:lang w:eastAsia="es-MX"/>
              </w:rPr>
              <w:t>$17,890.00</w:t>
            </w:r>
          </w:p>
        </w:tc>
      </w:tr>
    </w:tbl>
    <w:p w:rsidR="00631CB8" w:rsidRDefault="00631CB8" w:rsidP="00631CB8">
      <w:pPr>
        <w:rPr>
          <w:color w:val="FF0000"/>
          <w:sz w:val="20"/>
        </w:rPr>
      </w:pPr>
    </w:p>
    <w:p w:rsidR="00631CB8" w:rsidRPr="00E60180" w:rsidRDefault="00631CB8" w:rsidP="00631CB8">
      <w:pPr>
        <w:rPr>
          <w:sz w:val="20"/>
        </w:rPr>
      </w:pPr>
      <w:r w:rsidRPr="00E60180">
        <w:rPr>
          <w:sz w:val="20"/>
        </w:rPr>
        <w:t xml:space="preserve">Inversión </w:t>
      </w:r>
      <w:r w:rsidR="009312B3" w:rsidRPr="00E60180">
        <w:rPr>
          <w:sz w:val="20"/>
        </w:rPr>
        <w:t xml:space="preserve">total </w:t>
      </w:r>
      <w:r w:rsidRPr="00E60180">
        <w:rPr>
          <w:sz w:val="20"/>
        </w:rPr>
        <w:t>requerida</w:t>
      </w:r>
    </w:p>
    <w:p w:rsidR="00631CB8" w:rsidRPr="004F72C4" w:rsidRDefault="00F53BF6" w:rsidP="00631CB8">
      <w:pPr>
        <w:rPr>
          <w:sz w:val="20"/>
        </w:rPr>
      </w:pPr>
      <w:r w:rsidRPr="004F72C4">
        <w:rPr>
          <w:sz w:val="20"/>
        </w:rPr>
        <w:t>S</w:t>
      </w:r>
      <w:r w:rsidR="00631CB8" w:rsidRPr="004F72C4">
        <w:rPr>
          <w:sz w:val="20"/>
        </w:rPr>
        <w:t xml:space="preserve">e establece que el costo total de las inversiones programadas para su ejercicio en un período de 30 años, resulta de </w:t>
      </w:r>
      <w:r w:rsidRPr="004F72C4">
        <w:rPr>
          <w:sz w:val="20"/>
        </w:rPr>
        <w:t>3,196</w:t>
      </w:r>
      <w:r w:rsidR="00631CB8" w:rsidRPr="004F72C4">
        <w:rPr>
          <w:sz w:val="20"/>
        </w:rPr>
        <w:t xml:space="preserve"> MDP. En términos porcentuales, el Objetivo </w:t>
      </w:r>
      <w:r w:rsidRPr="004F72C4">
        <w:rPr>
          <w:sz w:val="20"/>
        </w:rPr>
        <w:t>1</w:t>
      </w:r>
      <w:r w:rsidR="00631CB8" w:rsidRPr="004F72C4">
        <w:rPr>
          <w:sz w:val="20"/>
        </w:rPr>
        <w:t xml:space="preserve"> relacionado con </w:t>
      </w:r>
      <w:r w:rsidRPr="004F72C4">
        <w:rPr>
          <w:sz w:val="20"/>
        </w:rPr>
        <w:t xml:space="preserve">el sector agrícola </w:t>
      </w:r>
      <w:r w:rsidR="00631CB8" w:rsidRPr="004F72C4">
        <w:rPr>
          <w:sz w:val="20"/>
        </w:rPr>
        <w:t xml:space="preserve">es el de mayor peso al alcanzar prácticamente </w:t>
      </w:r>
      <w:r w:rsidRPr="004F72C4">
        <w:rPr>
          <w:sz w:val="20"/>
        </w:rPr>
        <w:t>el 39.4% del total</w:t>
      </w:r>
      <w:r w:rsidR="00631CB8" w:rsidRPr="004F72C4">
        <w:rPr>
          <w:sz w:val="20"/>
        </w:rPr>
        <w:t xml:space="preserve">. Posteriormente, los Objetivos </w:t>
      </w:r>
      <w:r w:rsidRPr="004F72C4">
        <w:rPr>
          <w:sz w:val="20"/>
        </w:rPr>
        <w:t>2</w:t>
      </w:r>
      <w:r w:rsidR="00631CB8" w:rsidRPr="004F72C4">
        <w:rPr>
          <w:sz w:val="20"/>
        </w:rPr>
        <w:t xml:space="preserve"> y 3, </w:t>
      </w:r>
      <w:r w:rsidRPr="004F72C4">
        <w:rPr>
          <w:sz w:val="20"/>
        </w:rPr>
        <w:t xml:space="preserve">(agua potable, alcantarillado y saneamiento, así como el </w:t>
      </w:r>
      <w:r w:rsidR="00631CB8" w:rsidRPr="004F72C4">
        <w:rPr>
          <w:sz w:val="20"/>
        </w:rPr>
        <w:t>manejo de cuencas, respectivamente</w:t>
      </w:r>
      <w:r w:rsidRPr="004F72C4">
        <w:rPr>
          <w:sz w:val="20"/>
        </w:rPr>
        <w:t>)</w:t>
      </w:r>
      <w:r w:rsidR="00631CB8" w:rsidRPr="004F72C4">
        <w:rPr>
          <w:sz w:val="20"/>
        </w:rPr>
        <w:t xml:space="preserve">, se ubican en el segundo y tercer lugar de inversiones. </w:t>
      </w:r>
      <w:r w:rsidRPr="004F72C4">
        <w:rPr>
          <w:sz w:val="20"/>
        </w:rPr>
        <w:t>E</w:t>
      </w:r>
      <w:r w:rsidR="00631CB8" w:rsidRPr="004F72C4">
        <w:rPr>
          <w:sz w:val="20"/>
        </w:rPr>
        <w:t xml:space="preserve">stos tres objetivos en su conjunto requieren el </w:t>
      </w:r>
      <w:r w:rsidRPr="004F72C4">
        <w:rPr>
          <w:sz w:val="20"/>
        </w:rPr>
        <w:t>79.</w:t>
      </w:r>
      <w:r w:rsidR="004F72C4" w:rsidRPr="004F72C4">
        <w:rPr>
          <w:sz w:val="20"/>
        </w:rPr>
        <w:t>79</w:t>
      </w:r>
      <w:r w:rsidR="00631CB8" w:rsidRPr="004F72C4">
        <w:rPr>
          <w:sz w:val="20"/>
        </w:rPr>
        <w:t>% de las inversiones totales, lo que representa en valores monetarios</w:t>
      </w:r>
      <w:r w:rsidRPr="004F72C4">
        <w:rPr>
          <w:sz w:val="20"/>
        </w:rPr>
        <w:t>,</w:t>
      </w:r>
      <w:r w:rsidR="00631CB8" w:rsidRPr="004F72C4">
        <w:rPr>
          <w:sz w:val="20"/>
        </w:rPr>
        <w:t xml:space="preserve"> 2,</w:t>
      </w:r>
      <w:r w:rsidRPr="004F72C4">
        <w:rPr>
          <w:sz w:val="20"/>
        </w:rPr>
        <w:t>550</w:t>
      </w:r>
      <w:r w:rsidR="00631CB8" w:rsidRPr="004F72C4">
        <w:rPr>
          <w:sz w:val="20"/>
        </w:rPr>
        <w:t xml:space="preserve"> MDP.</w:t>
      </w:r>
    </w:p>
    <w:p w:rsidR="00631CB8" w:rsidRDefault="00631CB8" w:rsidP="00631CB8">
      <w:pPr>
        <w:rPr>
          <w:sz w:val="20"/>
        </w:rPr>
      </w:pPr>
      <w:r w:rsidRPr="004F72C4">
        <w:rPr>
          <w:sz w:val="20"/>
        </w:rPr>
        <w:t xml:space="preserve">Las acciones no estructurales (representadas por los Objetivos 4, 5, 6, 7 y 8) los cuales  garantizan la coordinación y cooperación de todos los actores, dado que se presentan como eje toral del cual depende la </w:t>
      </w:r>
      <w:r w:rsidRPr="004F72C4">
        <w:rPr>
          <w:sz w:val="20"/>
        </w:rPr>
        <w:lastRenderedPageBreak/>
        <w:t xml:space="preserve">viabilidad de todos los proyectos.  Su costo económico de implantación es comparablemente </w:t>
      </w:r>
      <w:r w:rsidR="004F72C4" w:rsidRPr="004F72C4">
        <w:rPr>
          <w:sz w:val="20"/>
        </w:rPr>
        <w:t>menor a los anteriores, 645 MDP</w:t>
      </w:r>
      <w:r w:rsidRPr="004F72C4">
        <w:rPr>
          <w:sz w:val="20"/>
        </w:rPr>
        <w:t xml:space="preserve"> (</w:t>
      </w:r>
      <w:r w:rsidR="004F72C4" w:rsidRPr="004F72C4">
        <w:rPr>
          <w:sz w:val="20"/>
        </w:rPr>
        <w:t>20.20</w:t>
      </w:r>
      <w:r w:rsidRPr="004F72C4">
        <w:rPr>
          <w:sz w:val="20"/>
        </w:rPr>
        <w:t>%).</w:t>
      </w:r>
    </w:p>
    <w:p w:rsidR="00D964CB" w:rsidRPr="00880A42" w:rsidRDefault="00D964CB" w:rsidP="00880A42">
      <w:pPr>
        <w:pStyle w:val="tabla1cap8"/>
        <w:ind w:left="0" w:firstLine="0"/>
      </w:pPr>
      <w:r w:rsidRPr="00880A42">
        <w:t>Inversión total requerida para el cumplimiento de los Objetivos del Plan de Manejo</w:t>
      </w:r>
    </w:p>
    <w:tbl>
      <w:tblPr>
        <w:tblW w:w="5030" w:type="pct"/>
        <w:tblBorders>
          <w:top w:val="single" w:sz="12" w:space="0" w:color="008000"/>
          <w:bottom w:val="single" w:sz="12" w:space="0" w:color="008000"/>
        </w:tblBorders>
        <w:tblLook w:val="04A0"/>
      </w:tblPr>
      <w:tblGrid>
        <w:gridCol w:w="305"/>
        <w:gridCol w:w="3494"/>
        <w:gridCol w:w="1151"/>
        <w:gridCol w:w="1266"/>
        <w:gridCol w:w="1355"/>
        <w:gridCol w:w="1152"/>
        <w:gridCol w:w="1240"/>
      </w:tblGrid>
      <w:tr w:rsidR="007802FD" w:rsidRPr="007802FD" w:rsidTr="00D964CB">
        <w:trPr>
          <w:trHeight w:val="255"/>
        </w:trPr>
        <w:tc>
          <w:tcPr>
            <w:tcW w:w="153" w:type="pct"/>
            <w:tcBorders>
              <w:bottom w:val="single" w:sz="6" w:space="0" w:color="008000"/>
            </w:tcBorders>
            <w:shd w:val="clear" w:color="auto" w:fill="auto"/>
            <w:noWrap/>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 </w:t>
            </w:r>
          </w:p>
        </w:tc>
        <w:tc>
          <w:tcPr>
            <w:tcW w:w="1754" w:type="pct"/>
            <w:tcBorders>
              <w:bottom w:val="single" w:sz="6" w:space="0" w:color="008000"/>
            </w:tcBorders>
            <w:shd w:val="clear" w:color="auto" w:fill="auto"/>
            <w:noWrap/>
            <w:hideMark/>
          </w:tcPr>
          <w:p w:rsidR="00631CB8" w:rsidRPr="007802FD" w:rsidRDefault="00631CB8" w:rsidP="005529BE">
            <w:pPr>
              <w:spacing w:before="20" w:after="20" w:line="240" w:lineRule="auto"/>
              <w:ind w:firstLine="0"/>
              <w:jc w:val="center"/>
              <w:rPr>
                <w:rFonts w:eastAsia="Times New Roman" w:cs="Arial"/>
                <w:bCs/>
                <w:sz w:val="16"/>
                <w:szCs w:val="16"/>
                <w:lang w:eastAsia="es-MX"/>
              </w:rPr>
            </w:pPr>
            <w:r w:rsidRPr="007802FD">
              <w:rPr>
                <w:rFonts w:eastAsia="Times New Roman" w:cs="Arial"/>
                <w:bCs/>
                <w:sz w:val="16"/>
                <w:szCs w:val="16"/>
                <w:lang w:eastAsia="es-MX"/>
              </w:rPr>
              <w:t>Objetivo</w:t>
            </w:r>
          </w:p>
        </w:tc>
        <w:tc>
          <w:tcPr>
            <w:tcW w:w="578" w:type="pct"/>
            <w:tcBorders>
              <w:bottom w:val="single" w:sz="6" w:space="0" w:color="008000"/>
            </w:tcBorders>
            <w:shd w:val="clear" w:color="auto" w:fill="auto"/>
            <w:noWrap/>
            <w:hideMark/>
          </w:tcPr>
          <w:p w:rsidR="00631CB8" w:rsidRPr="007802FD" w:rsidRDefault="00631CB8" w:rsidP="005529BE">
            <w:pPr>
              <w:spacing w:before="20" w:after="20" w:line="240" w:lineRule="auto"/>
              <w:ind w:firstLine="0"/>
              <w:jc w:val="center"/>
              <w:rPr>
                <w:rFonts w:eastAsia="Times New Roman" w:cs="Arial"/>
                <w:bCs/>
                <w:sz w:val="16"/>
                <w:szCs w:val="16"/>
                <w:lang w:eastAsia="es-MX"/>
              </w:rPr>
            </w:pPr>
            <w:r w:rsidRPr="007802FD">
              <w:rPr>
                <w:rFonts w:eastAsia="Times New Roman" w:cs="Arial"/>
                <w:bCs/>
                <w:sz w:val="16"/>
                <w:szCs w:val="16"/>
                <w:lang w:eastAsia="es-MX"/>
              </w:rPr>
              <w:t>Huamantla</w:t>
            </w:r>
          </w:p>
        </w:tc>
        <w:tc>
          <w:tcPr>
            <w:tcW w:w="635" w:type="pct"/>
            <w:tcBorders>
              <w:bottom w:val="single" w:sz="6" w:space="0" w:color="008000"/>
            </w:tcBorders>
            <w:shd w:val="clear" w:color="auto" w:fill="auto"/>
            <w:noWrap/>
            <w:hideMark/>
          </w:tcPr>
          <w:p w:rsidR="00631CB8" w:rsidRPr="007802FD" w:rsidRDefault="00631CB8" w:rsidP="005529BE">
            <w:pPr>
              <w:spacing w:before="20" w:after="20" w:line="240" w:lineRule="auto"/>
              <w:ind w:firstLine="0"/>
              <w:jc w:val="center"/>
              <w:rPr>
                <w:rFonts w:eastAsia="Times New Roman" w:cs="Arial"/>
                <w:bCs/>
                <w:sz w:val="16"/>
                <w:szCs w:val="16"/>
                <w:lang w:eastAsia="es-MX"/>
              </w:rPr>
            </w:pPr>
            <w:r w:rsidRPr="007802FD">
              <w:rPr>
                <w:rFonts w:eastAsia="Times New Roman" w:cs="Arial"/>
                <w:bCs/>
                <w:sz w:val="16"/>
                <w:szCs w:val="16"/>
                <w:lang w:eastAsia="es-MX"/>
              </w:rPr>
              <w:t>Libres-Oriental</w:t>
            </w:r>
          </w:p>
        </w:tc>
        <w:tc>
          <w:tcPr>
            <w:tcW w:w="680" w:type="pct"/>
            <w:tcBorders>
              <w:bottom w:val="single" w:sz="6" w:space="0" w:color="008000"/>
            </w:tcBorders>
            <w:shd w:val="clear" w:color="auto" w:fill="auto"/>
            <w:noWrap/>
            <w:hideMark/>
          </w:tcPr>
          <w:p w:rsidR="00631CB8" w:rsidRPr="007802FD" w:rsidRDefault="00631CB8" w:rsidP="005529BE">
            <w:pPr>
              <w:spacing w:before="20" w:after="20" w:line="240" w:lineRule="auto"/>
              <w:ind w:firstLine="0"/>
              <w:jc w:val="center"/>
              <w:rPr>
                <w:rFonts w:eastAsia="Times New Roman" w:cs="Arial"/>
                <w:bCs/>
                <w:sz w:val="16"/>
                <w:szCs w:val="16"/>
                <w:lang w:eastAsia="es-MX"/>
              </w:rPr>
            </w:pPr>
            <w:r w:rsidRPr="007802FD">
              <w:rPr>
                <w:rFonts w:eastAsia="Times New Roman" w:cs="Arial"/>
                <w:bCs/>
                <w:sz w:val="16"/>
                <w:szCs w:val="16"/>
                <w:lang w:eastAsia="es-MX"/>
              </w:rPr>
              <w:t>Perote-Zalayeta</w:t>
            </w:r>
          </w:p>
        </w:tc>
        <w:tc>
          <w:tcPr>
            <w:tcW w:w="578" w:type="pct"/>
            <w:tcBorders>
              <w:bottom w:val="single" w:sz="6" w:space="0" w:color="008000"/>
            </w:tcBorders>
            <w:shd w:val="clear" w:color="auto" w:fill="auto"/>
            <w:noWrap/>
            <w:hideMark/>
          </w:tcPr>
          <w:p w:rsidR="00631CB8" w:rsidRPr="007802FD" w:rsidRDefault="00631CB8" w:rsidP="005529BE">
            <w:pPr>
              <w:spacing w:before="20" w:after="20" w:line="240" w:lineRule="auto"/>
              <w:ind w:firstLine="0"/>
              <w:jc w:val="center"/>
              <w:rPr>
                <w:rFonts w:eastAsia="Times New Roman" w:cs="Arial"/>
                <w:bCs/>
                <w:sz w:val="16"/>
                <w:szCs w:val="16"/>
                <w:lang w:eastAsia="es-MX"/>
              </w:rPr>
            </w:pPr>
            <w:r w:rsidRPr="007802FD">
              <w:rPr>
                <w:rFonts w:eastAsia="Times New Roman" w:cs="Arial"/>
                <w:bCs/>
                <w:sz w:val="16"/>
                <w:szCs w:val="16"/>
                <w:lang w:eastAsia="es-MX"/>
              </w:rPr>
              <w:t>HLOP</w:t>
            </w:r>
          </w:p>
        </w:tc>
        <w:tc>
          <w:tcPr>
            <w:tcW w:w="622" w:type="pct"/>
            <w:tcBorders>
              <w:bottom w:val="single" w:sz="6" w:space="0" w:color="008000"/>
            </w:tcBorders>
            <w:shd w:val="clear" w:color="auto" w:fill="auto"/>
            <w:noWrap/>
            <w:hideMark/>
          </w:tcPr>
          <w:p w:rsidR="00631CB8" w:rsidRPr="007802FD" w:rsidRDefault="00631CB8" w:rsidP="005529BE">
            <w:pPr>
              <w:spacing w:before="20" w:after="20" w:line="240" w:lineRule="auto"/>
              <w:ind w:firstLine="0"/>
              <w:jc w:val="center"/>
              <w:rPr>
                <w:rFonts w:eastAsia="Times New Roman" w:cs="Arial"/>
                <w:bCs/>
                <w:sz w:val="16"/>
                <w:szCs w:val="16"/>
                <w:lang w:eastAsia="es-MX"/>
              </w:rPr>
            </w:pPr>
            <w:r w:rsidRPr="007802FD">
              <w:rPr>
                <w:rFonts w:eastAsia="Times New Roman" w:cs="Arial"/>
                <w:bCs/>
                <w:sz w:val="16"/>
                <w:szCs w:val="16"/>
                <w:lang w:eastAsia="es-MX"/>
              </w:rPr>
              <w:t>Total</w:t>
            </w:r>
          </w:p>
        </w:tc>
      </w:tr>
      <w:tr w:rsidR="007802FD" w:rsidRPr="007802FD" w:rsidTr="00D964CB">
        <w:trPr>
          <w:trHeight w:val="300"/>
        </w:trPr>
        <w:tc>
          <w:tcPr>
            <w:tcW w:w="153" w:type="pct"/>
            <w:shd w:val="clear" w:color="auto" w:fill="auto"/>
            <w:noWrap/>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1</w:t>
            </w:r>
          </w:p>
        </w:tc>
        <w:tc>
          <w:tcPr>
            <w:tcW w:w="175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Mejorar la productividad del agua en el sector agrícola</w:t>
            </w:r>
          </w:p>
        </w:tc>
        <w:tc>
          <w:tcPr>
            <w:tcW w:w="578" w:type="pct"/>
            <w:shd w:val="clear" w:color="auto" w:fill="auto"/>
            <w:noWrap/>
            <w:vAlign w:val="center"/>
            <w:hideMark/>
          </w:tcPr>
          <w:p w:rsidR="00631CB8" w:rsidRPr="007802FD" w:rsidRDefault="007802FD"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$451,640.</w:t>
            </w:r>
            <w:r w:rsidR="00631CB8" w:rsidRPr="007802FD">
              <w:rPr>
                <w:rFonts w:eastAsia="Times New Roman" w:cs="Arial"/>
                <w:sz w:val="16"/>
                <w:szCs w:val="16"/>
                <w:lang w:eastAsia="es-MX"/>
              </w:rPr>
              <w:t>00</w:t>
            </w:r>
          </w:p>
        </w:tc>
        <w:tc>
          <w:tcPr>
            <w:tcW w:w="635" w:type="pct"/>
            <w:shd w:val="clear" w:color="auto" w:fill="auto"/>
            <w:noWrap/>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669,164</w:t>
            </w:r>
            <w:r w:rsidRPr="007802FD">
              <w:rPr>
                <w:rFonts w:eastAsia="Times New Roman" w:cs="Arial"/>
                <w:sz w:val="16"/>
                <w:szCs w:val="16"/>
                <w:lang w:eastAsia="es-MX"/>
              </w:rPr>
              <w:t>.00</w:t>
            </w:r>
          </w:p>
        </w:tc>
        <w:tc>
          <w:tcPr>
            <w:tcW w:w="680" w:type="pct"/>
            <w:shd w:val="clear" w:color="auto" w:fill="auto"/>
            <w:noWrap/>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139,360</w:t>
            </w:r>
            <w:r w:rsidRPr="007802FD">
              <w:rPr>
                <w:rFonts w:eastAsia="Times New Roman" w:cs="Arial"/>
                <w:sz w:val="16"/>
                <w:szCs w:val="16"/>
                <w:lang w:eastAsia="es-MX"/>
              </w:rPr>
              <w:t>.00</w:t>
            </w:r>
          </w:p>
        </w:tc>
        <w:tc>
          <w:tcPr>
            <w:tcW w:w="578"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622" w:type="pct"/>
            <w:shd w:val="clear" w:color="auto" w:fill="auto"/>
            <w:noWrap/>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1,260,164.</w:t>
            </w:r>
            <w:r w:rsidRPr="007802FD">
              <w:rPr>
                <w:rFonts w:eastAsia="Times New Roman" w:cs="Arial"/>
                <w:sz w:val="16"/>
                <w:szCs w:val="16"/>
                <w:lang w:eastAsia="es-MX"/>
              </w:rPr>
              <w:t>00</w:t>
            </w:r>
          </w:p>
        </w:tc>
      </w:tr>
      <w:tr w:rsidR="007802FD" w:rsidRPr="007802FD" w:rsidTr="00D964CB">
        <w:trPr>
          <w:trHeight w:val="525"/>
        </w:trPr>
        <w:tc>
          <w:tcPr>
            <w:tcW w:w="153" w:type="pct"/>
            <w:shd w:val="clear" w:color="auto" w:fill="auto"/>
            <w:noWrap/>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2</w:t>
            </w:r>
          </w:p>
        </w:tc>
        <w:tc>
          <w:tcPr>
            <w:tcW w:w="175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Incrementar el acceso y la calidad de los servicios de agua potable, alcantarillado y saneamiento</w:t>
            </w:r>
          </w:p>
        </w:tc>
        <w:tc>
          <w:tcPr>
            <w:tcW w:w="578"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$103,941.00</w:t>
            </w:r>
          </w:p>
        </w:tc>
        <w:tc>
          <w:tcPr>
            <w:tcW w:w="635"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$279,617.00</w:t>
            </w:r>
          </w:p>
        </w:tc>
        <w:tc>
          <w:tcPr>
            <w:tcW w:w="680"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$68,173.00</w:t>
            </w:r>
          </w:p>
        </w:tc>
        <w:tc>
          <w:tcPr>
            <w:tcW w:w="578"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$462,608.00 </w:t>
            </w:r>
          </w:p>
        </w:tc>
        <w:tc>
          <w:tcPr>
            <w:tcW w:w="622"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$914,339.00</w:t>
            </w:r>
          </w:p>
        </w:tc>
      </w:tr>
      <w:tr w:rsidR="007802FD" w:rsidRPr="007802FD" w:rsidTr="00D964CB">
        <w:trPr>
          <w:trHeight w:val="300"/>
        </w:trPr>
        <w:tc>
          <w:tcPr>
            <w:tcW w:w="153" w:type="pct"/>
            <w:shd w:val="clear" w:color="auto" w:fill="auto"/>
            <w:noWrap/>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3</w:t>
            </w:r>
          </w:p>
        </w:tc>
        <w:tc>
          <w:tcPr>
            <w:tcW w:w="175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Promover el manejo integrado del agua en cuencas y acuíferos</w:t>
            </w:r>
          </w:p>
        </w:tc>
        <w:tc>
          <w:tcPr>
            <w:tcW w:w="578" w:type="pct"/>
            <w:shd w:val="clear" w:color="auto" w:fill="auto"/>
            <w:noWrap/>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$1</w:t>
            </w:r>
            <w:r w:rsidR="007802FD" w:rsidRPr="007802FD">
              <w:rPr>
                <w:rFonts w:eastAsia="Times New Roman" w:cs="Arial"/>
                <w:sz w:val="16"/>
                <w:szCs w:val="16"/>
                <w:lang w:eastAsia="es-MX"/>
              </w:rPr>
              <w:t>05, 870</w:t>
            </w:r>
            <w:r w:rsidRPr="007802FD">
              <w:rPr>
                <w:rFonts w:eastAsia="Times New Roman" w:cs="Arial"/>
                <w:sz w:val="16"/>
                <w:szCs w:val="16"/>
                <w:lang w:eastAsia="es-MX"/>
              </w:rPr>
              <w:t>.00</w:t>
            </w:r>
          </w:p>
        </w:tc>
        <w:tc>
          <w:tcPr>
            <w:tcW w:w="635" w:type="pct"/>
            <w:shd w:val="clear" w:color="auto" w:fill="auto"/>
            <w:noWrap/>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149,645</w:t>
            </w:r>
            <w:r w:rsidRPr="007802FD">
              <w:rPr>
                <w:rFonts w:eastAsia="Times New Roman" w:cs="Arial"/>
                <w:sz w:val="16"/>
                <w:szCs w:val="16"/>
                <w:lang w:eastAsia="es-MX"/>
              </w:rPr>
              <w:t>.00</w:t>
            </w:r>
          </w:p>
        </w:tc>
        <w:tc>
          <w:tcPr>
            <w:tcW w:w="680" w:type="pct"/>
            <w:shd w:val="clear" w:color="auto" w:fill="auto"/>
            <w:noWrap/>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120,485</w:t>
            </w:r>
            <w:r w:rsidRPr="007802FD">
              <w:rPr>
                <w:rFonts w:eastAsia="Times New Roman" w:cs="Arial"/>
                <w:sz w:val="16"/>
                <w:szCs w:val="16"/>
                <w:lang w:eastAsia="es-MX"/>
              </w:rPr>
              <w:t>.00</w:t>
            </w:r>
          </w:p>
        </w:tc>
        <w:tc>
          <w:tcPr>
            <w:tcW w:w="578"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622" w:type="pct"/>
            <w:shd w:val="clear" w:color="auto" w:fill="auto"/>
            <w:noWrap/>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376,0</w:t>
            </w:r>
            <w:r w:rsidRPr="007802FD">
              <w:rPr>
                <w:rFonts w:eastAsia="Times New Roman" w:cs="Arial"/>
                <w:sz w:val="16"/>
                <w:szCs w:val="16"/>
                <w:lang w:eastAsia="es-MX"/>
              </w:rPr>
              <w:t>00.00</w:t>
            </w:r>
          </w:p>
        </w:tc>
      </w:tr>
      <w:tr w:rsidR="007802FD" w:rsidRPr="007802FD" w:rsidTr="00D964CB">
        <w:trPr>
          <w:trHeight w:val="525"/>
        </w:trPr>
        <w:tc>
          <w:tcPr>
            <w:tcW w:w="153" w:type="pct"/>
            <w:shd w:val="clear" w:color="auto" w:fill="auto"/>
            <w:noWrap/>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4</w:t>
            </w:r>
          </w:p>
        </w:tc>
        <w:tc>
          <w:tcPr>
            <w:tcW w:w="175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Mejorar el desarrollo técnico, administrativo y financiero del sector hidráulico</w:t>
            </w:r>
          </w:p>
        </w:tc>
        <w:tc>
          <w:tcPr>
            <w:tcW w:w="578"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$92,235.00</w:t>
            </w:r>
          </w:p>
        </w:tc>
        <w:tc>
          <w:tcPr>
            <w:tcW w:w="635"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$92,235.00</w:t>
            </w:r>
          </w:p>
        </w:tc>
        <w:tc>
          <w:tcPr>
            <w:tcW w:w="680"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$95,030.00</w:t>
            </w:r>
          </w:p>
        </w:tc>
        <w:tc>
          <w:tcPr>
            <w:tcW w:w="578"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622"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$279,500.00</w:t>
            </w:r>
          </w:p>
        </w:tc>
      </w:tr>
      <w:tr w:rsidR="007802FD" w:rsidRPr="007802FD" w:rsidTr="00D964CB">
        <w:trPr>
          <w:trHeight w:val="780"/>
        </w:trPr>
        <w:tc>
          <w:tcPr>
            <w:tcW w:w="153" w:type="pct"/>
            <w:shd w:val="clear" w:color="auto" w:fill="auto"/>
            <w:noWrap/>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5</w:t>
            </w:r>
          </w:p>
        </w:tc>
        <w:tc>
          <w:tcPr>
            <w:tcW w:w="175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Consolidar la participación de los usuarios y la sociedad organizada en el manejo del agua y promover la cultura del buen uso</w:t>
            </w:r>
          </w:p>
        </w:tc>
        <w:tc>
          <w:tcPr>
            <w:tcW w:w="578"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$109,910.00</w:t>
            </w:r>
          </w:p>
        </w:tc>
        <w:tc>
          <w:tcPr>
            <w:tcW w:w="635"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$116,208.00</w:t>
            </w:r>
          </w:p>
        </w:tc>
        <w:tc>
          <w:tcPr>
            <w:tcW w:w="680"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$94,749.00</w:t>
            </w:r>
          </w:p>
        </w:tc>
        <w:tc>
          <w:tcPr>
            <w:tcW w:w="578"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622"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$320,866.00</w:t>
            </w:r>
          </w:p>
        </w:tc>
      </w:tr>
      <w:tr w:rsidR="007802FD" w:rsidRPr="007802FD" w:rsidTr="00D964CB">
        <w:trPr>
          <w:trHeight w:val="525"/>
        </w:trPr>
        <w:tc>
          <w:tcPr>
            <w:tcW w:w="153" w:type="pct"/>
            <w:shd w:val="clear" w:color="auto" w:fill="auto"/>
            <w:noWrap/>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6</w:t>
            </w:r>
          </w:p>
        </w:tc>
        <w:tc>
          <w:tcPr>
            <w:tcW w:w="175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Prevenir los riesgos derivados de los fenómenos meteorológicos e hidrometeorológicos y atender sus efectos</w:t>
            </w:r>
          </w:p>
        </w:tc>
        <w:tc>
          <w:tcPr>
            <w:tcW w:w="578"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635"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680"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578"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$22,000.00</w:t>
            </w:r>
          </w:p>
        </w:tc>
        <w:tc>
          <w:tcPr>
            <w:tcW w:w="622" w:type="pct"/>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$22,000.00</w:t>
            </w:r>
          </w:p>
        </w:tc>
      </w:tr>
      <w:tr w:rsidR="007802FD" w:rsidRPr="007802FD" w:rsidTr="00D964CB">
        <w:trPr>
          <w:trHeight w:val="525"/>
        </w:trPr>
        <w:tc>
          <w:tcPr>
            <w:tcW w:w="153" w:type="pct"/>
            <w:shd w:val="clear" w:color="auto" w:fill="auto"/>
            <w:noWrap/>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7</w:t>
            </w:r>
          </w:p>
        </w:tc>
        <w:tc>
          <w:tcPr>
            <w:tcW w:w="175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Evaluar los efectos del cambio climático e hidrológico global y local</w:t>
            </w:r>
          </w:p>
        </w:tc>
        <w:tc>
          <w:tcPr>
            <w:tcW w:w="578" w:type="pct"/>
            <w:tcBorders>
              <w:bottom w:val="nil"/>
            </w:tcBorders>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635" w:type="pct"/>
            <w:tcBorders>
              <w:bottom w:val="nil"/>
            </w:tcBorders>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680" w:type="pct"/>
            <w:tcBorders>
              <w:bottom w:val="nil"/>
            </w:tcBorders>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578" w:type="pct"/>
            <w:tcBorders>
              <w:bottom w:val="nil"/>
            </w:tcBorders>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$5,600.00</w:t>
            </w:r>
          </w:p>
        </w:tc>
        <w:tc>
          <w:tcPr>
            <w:tcW w:w="622" w:type="pct"/>
            <w:tcBorders>
              <w:bottom w:val="nil"/>
            </w:tcBorders>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$5,600.00</w:t>
            </w:r>
          </w:p>
        </w:tc>
      </w:tr>
      <w:tr w:rsidR="007802FD" w:rsidRPr="007802FD" w:rsidTr="00D964CB">
        <w:trPr>
          <w:trHeight w:val="525"/>
        </w:trPr>
        <w:tc>
          <w:tcPr>
            <w:tcW w:w="153" w:type="pct"/>
            <w:shd w:val="clear" w:color="auto" w:fill="auto"/>
            <w:noWrap/>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8</w:t>
            </w:r>
          </w:p>
        </w:tc>
        <w:tc>
          <w:tcPr>
            <w:tcW w:w="175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Crear una cultura contributiva y de cumplimiento a la LAN en materia administrativa</w:t>
            </w:r>
          </w:p>
        </w:tc>
        <w:tc>
          <w:tcPr>
            <w:tcW w:w="578" w:type="pct"/>
            <w:tcBorders>
              <w:top w:val="nil"/>
              <w:bottom w:val="single" w:sz="4" w:space="0" w:color="auto"/>
            </w:tcBorders>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635" w:type="pct"/>
            <w:tcBorders>
              <w:top w:val="nil"/>
              <w:bottom w:val="single" w:sz="4" w:space="0" w:color="auto"/>
            </w:tcBorders>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680" w:type="pct"/>
            <w:tcBorders>
              <w:top w:val="nil"/>
              <w:bottom w:val="single" w:sz="4" w:space="0" w:color="auto"/>
            </w:tcBorders>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w:t>
            </w:r>
          </w:p>
        </w:tc>
        <w:tc>
          <w:tcPr>
            <w:tcW w:w="578" w:type="pct"/>
            <w:tcBorders>
              <w:top w:val="nil"/>
              <w:bottom w:val="single" w:sz="4" w:space="0" w:color="auto"/>
            </w:tcBorders>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$17,890.00</w:t>
            </w:r>
          </w:p>
        </w:tc>
        <w:tc>
          <w:tcPr>
            <w:tcW w:w="622" w:type="pct"/>
            <w:tcBorders>
              <w:top w:val="nil"/>
              <w:bottom w:val="single" w:sz="4" w:space="0" w:color="auto"/>
            </w:tcBorders>
            <w:shd w:val="clear" w:color="auto" w:fill="auto"/>
            <w:noWrap/>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$17,890.00</w:t>
            </w:r>
          </w:p>
        </w:tc>
      </w:tr>
      <w:tr w:rsidR="007802FD" w:rsidRPr="007802FD" w:rsidTr="00D964CB">
        <w:trPr>
          <w:trHeight w:val="255"/>
        </w:trPr>
        <w:tc>
          <w:tcPr>
            <w:tcW w:w="153" w:type="pct"/>
            <w:shd w:val="clear" w:color="auto" w:fill="auto"/>
            <w:noWrap/>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 </w:t>
            </w:r>
          </w:p>
        </w:tc>
        <w:tc>
          <w:tcPr>
            <w:tcW w:w="1754" w:type="pct"/>
            <w:shd w:val="clear" w:color="auto" w:fill="auto"/>
            <w:noWrap/>
            <w:hideMark/>
          </w:tcPr>
          <w:p w:rsidR="00631CB8" w:rsidRPr="007802FD" w:rsidRDefault="00631CB8" w:rsidP="005529BE">
            <w:pPr>
              <w:spacing w:before="20" w:after="20" w:line="240" w:lineRule="auto"/>
              <w:ind w:firstLine="0"/>
              <w:jc w:val="center"/>
              <w:rPr>
                <w:rFonts w:eastAsia="Times New Roman" w:cs="Arial"/>
                <w:bCs/>
                <w:sz w:val="16"/>
                <w:szCs w:val="16"/>
                <w:lang w:eastAsia="es-MX"/>
              </w:rPr>
            </w:pPr>
            <w:r w:rsidRPr="007802FD">
              <w:rPr>
                <w:rFonts w:eastAsia="Times New Roman" w:cs="Arial"/>
                <w:bCs/>
                <w:sz w:val="16"/>
                <w:szCs w:val="16"/>
                <w:lang w:eastAsia="es-MX"/>
              </w:rPr>
              <w:t>Total General</w:t>
            </w:r>
          </w:p>
        </w:tc>
        <w:tc>
          <w:tcPr>
            <w:tcW w:w="578" w:type="pct"/>
            <w:tcBorders>
              <w:top w:val="single" w:sz="4" w:space="0" w:color="auto"/>
            </w:tcBorders>
            <w:shd w:val="clear" w:color="auto" w:fill="auto"/>
            <w:noWrap/>
            <w:hideMark/>
          </w:tcPr>
          <w:p w:rsidR="00631CB8" w:rsidRPr="007802FD" w:rsidRDefault="00631CB8" w:rsidP="007802FD">
            <w:pPr>
              <w:spacing w:before="20" w:after="20" w:line="240" w:lineRule="auto"/>
              <w:ind w:firstLine="0"/>
              <w:jc w:val="right"/>
              <w:rPr>
                <w:rFonts w:eastAsia="Times New Roman" w:cs="Arial"/>
                <w:bCs/>
                <w:sz w:val="16"/>
                <w:szCs w:val="16"/>
                <w:lang w:eastAsia="es-MX"/>
              </w:rPr>
            </w:pPr>
            <w:r w:rsidRPr="007802FD">
              <w:rPr>
                <w:rFonts w:eastAsia="Times New Roman" w:cs="Arial"/>
                <w:bCs/>
                <w:sz w:val="16"/>
                <w:szCs w:val="16"/>
                <w:lang w:eastAsia="es-MX"/>
              </w:rPr>
              <w:t>$</w:t>
            </w:r>
            <w:r w:rsidR="007802FD" w:rsidRPr="007802FD">
              <w:rPr>
                <w:rFonts w:eastAsia="Times New Roman" w:cs="Arial"/>
                <w:bCs/>
                <w:sz w:val="16"/>
                <w:szCs w:val="16"/>
                <w:lang w:eastAsia="es-MX"/>
              </w:rPr>
              <w:t>863,596.</w:t>
            </w:r>
            <w:r w:rsidRPr="007802FD">
              <w:rPr>
                <w:rFonts w:eastAsia="Times New Roman" w:cs="Arial"/>
                <w:bCs/>
                <w:sz w:val="16"/>
                <w:szCs w:val="16"/>
                <w:lang w:eastAsia="es-MX"/>
              </w:rPr>
              <w:t>00</w:t>
            </w:r>
          </w:p>
        </w:tc>
        <w:tc>
          <w:tcPr>
            <w:tcW w:w="635" w:type="pct"/>
            <w:tcBorders>
              <w:top w:val="single" w:sz="4" w:space="0" w:color="auto"/>
            </w:tcBorders>
            <w:shd w:val="clear" w:color="auto" w:fill="auto"/>
            <w:noWrap/>
            <w:hideMark/>
          </w:tcPr>
          <w:p w:rsidR="00631CB8" w:rsidRPr="007802FD" w:rsidRDefault="00631CB8" w:rsidP="007802FD">
            <w:pPr>
              <w:spacing w:before="20" w:after="20" w:line="240" w:lineRule="auto"/>
              <w:ind w:firstLine="0"/>
              <w:jc w:val="right"/>
              <w:rPr>
                <w:rFonts w:eastAsia="Times New Roman" w:cs="Arial"/>
                <w:bCs/>
                <w:sz w:val="16"/>
                <w:szCs w:val="16"/>
                <w:lang w:eastAsia="es-MX"/>
              </w:rPr>
            </w:pPr>
            <w:r w:rsidRPr="007802FD">
              <w:rPr>
                <w:rFonts w:eastAsia="Times New Roman" w:cs="Arial"/>
                <w:bCs/>
                <w:sz w:val="16"/>
                <w:szCs w:val="16"/>
                <w:lang w:eastAsia="es-MX"/>
              </w:rPr>
              <w:t>$1,</w:t>
            </w:r>
            <w:r w:rsidR="007802FD" w:rsidRPr="007802FD">
              <w:rPr>
                <w:rFonts w:eastAsia="Times New Roman" w:cs="Arial"/>
                <w:bCs/>
                <w:sz w:val="16"/>
                <w:szCs w:val="16"/>
                <w:lang w:eastAsia="es-MX"/>
              </w:rPr>
              <w:t>306</w:t>
            </w:r>
            <w:r w:rsidRPr="007802FD">
              <w:rPr>
                <w:rFonts w:eastAsia="Times New Roman" w:cs="Arial"/>
                <w:bCs/>
                <w:sz w:val="16"/>
                <w:szCs w:val="16"/>
                <w:lang w:eastAsia="es-MX"/>
              </w:rPr>
              <w:t>,</w:t>
            </w:r>
            <w:r w:rsidR="007802FD" w:rsidRPr="007802FD">
              <w:rPr>
                <w:rFonts w:eastAsia="Times New Roman" w:cs="Arial"/>
                <w:bCs/>
                <w:sz w:val="16"/>
                <w:szCs w:val="16"/>
                <w:lang w:eastAsia="es-MX"/>
              </w:rPr>
              <w:t>868</w:t>
            </w:r>
            <w:r w:rsidRPr="007802FD">
              <w:rPr>
                <w:rFonts w:eastAsia="Times New Roman" w:cs="Arial"/>
                <w:bCs/>
                <w:sz w:val="16"/>
                <w:szCs w:val="16"/>
                <w:lang w:eastAsia="es-MX"/>
              </w:rPr>
              <w:t>.00</w:t>
            </w:r>
          </w:p>
        </w:tc>
        <w:tc>
          <w:tcPr>
            <w:tcW w:w="680" w:type="pct"/>
            <w:tcBorders>
              <w:top w:val="single" w:sz="4" w:space="0" w:color="auto"/>
            </w:tcBorders>
            <w:shd w:val="clear" w:color="auto" w:fill="auto"/>
            <w:noWrap/>
            <w:hideMark/>
          </w:tcPr>
          <w:p w:rsidR="00631CB8" w:rsidRPr="007802FD" w:rsidRDefault="00631CB8" w:rsidP="007802FD">
            <w:pPr>
              <w:spacing w:before="20" w:after="20" w:line="240" w:lineRule="auto"/>
              <w:ind w:firstLine="0"/>
              <w:jc w:val="right"/>
              <w:rPr>
                <w:rFonts w:eastAsia="Times New Roman" w:cs="Arial"/>
                <w:bCs/>
                <w:sz w:val="16"/>
                <w:szCs w:val="16"/>
                <w:lang w:eastAsia="es-MX"/>
              </w:rPr>
            </w:pPr>
            <w:r w:rsidRPr="007802FD">
              <w:rPr>
                <w:rFonts w:eastAsia="Times New Roman" w:cs="Arial"/>
                <w:bCs/>
                <w:sz w:val="16"/>
                <w:szCs w:val="16"/>
                <w:lang w:eastAsia="es-MX"/>
              </w:rPr>
              <w:t>$</w:t>
            </w:r>
            <w:r w:rsidR="007802FD" w:rsidRPr="007802FD">
              <w:rPr>
                <w:rFonts w:eastAsia="Times New Roman" w:cs="Arial"/>
                <w:bCs/>
                <w:sz w:val="16"/>
                <w:szCs w:val="16"/>
                <w:lang w:eastAsia="es-MX"/>
              </w:rPr>
              <w:t>517,736</w:t>
            </w:r>
            <w:r w:rsidRPr="007802FD">
              <w:rPr>
                <w:rFonts w:eastAsia="Times New Roman" w:cs="Arial"/>
                <w:bCs/>
                <w:sz w:val="16"/>
                <w:szCs w:val="16"/>
                <w:lang w:eastAsia="es-MX"/>
              </w:rPr>
              <w:t>.00</w:t>
            </w:r>
          </w:p>
        </w:tc>
        <w:tc>
          <w:tcPr>
            <w:tcW w:w="578" w:type="pct"/>
            <w:tcBorders>
              <w:top w:val="single" w:sz="4" w:space="0" w:color="auto"/>
            </w:tcBorders>
            <w:shd w:val="clear" w:color="auto" w:fill="auto"/>
            <w:noWrap/>
            <w:hideMark/>
          </w:tcPr>
          <w:p w:rsidR="00631CB8" w:rsidRPr="007802FD" w:rsidRDefault="00631CB8" w:rsidP="005529BE">
            <w:pPr>
              <w:spacing w:before="20" w:after="20" w:line="240" w:lineRule="auto"/>
              <w:ind w:firstLine="0"/>
              <w:jc w:val="right"/>
              <w:rPr>
                <w:rFonts w:eastAsia="Times New Roman" w:cs="Arial"/>
                <w:bCs/>
                <w:sz w:val="16"/>
                <w:szCs w:val="16"/>
                <w:lang w:eastAsia="es-MX"/>
              </w:rPr>
            </w:pPr>
            <w:r w:rsidRPr="007802FD">
              <w:rPr>
                <w:rFonts w:eastAsia="Times New Roman" w:cs="Arial"/>
                <w:bCs/>
                <w:sz w:val="16"/>
                <w:szCs w:val="16"/>
                <w:lang w:eastAsia="es-MX"/>
              </w:rPr>
              <w:t>$508,098.0</w:t>
            </w:r>
          </w:p>
        </w:tc>
        <w:tc>
          <w:tcPr>
            <w:tcW w:w="622" w:type="pct"/>
            <w:tcBorders>
              <w:top w:val="single" w:sz="4" w:space="0" w:color="auto"/>
            </w:tcBorders>
            <w:shd w:val="clear" w:color="auto" w:fill="auto"/>
            <w:noWrap/>
            <w:hideMark/>
          </w:tcPr>
          <w:p w:rsidR="00631CB8" w:rsidRPr="007802FD" w:rsidRDefault="00631CB8" w:rsidP="007802FD">
            <w:pPr>
              <w:spacing w:before="20" w:after="20" w:line="240" w:lineRule="auto"/>
              <w:ind w:firstLine="0"/>
              <w:jc w:val="right"/>
              <w:rPr>
                <w:rFonts w:eastAsia="Times New Roman" w:cs="Arial"/>
                <w:bCs/>
                <w:sz w:val="16"/>
                <w:szCs w:val="16"/>
                <w:lang w:eastAsia="es-MX"/>
              </w:rPr>
            </w:pPr>
            <w:r w:rsidRPr="007802FD">
              <w:rPr>
                <w:rFonts w:eastAsia="Times New Roman" w:cs="Arial"/>
                <w:bCs/>
                <w:sz w:val="16"/>
                <w:szCs w:val="16"/>
                <w:lang w:eastAsia="es-MX"/>
              </w:rPr>
              <w:t>$</w:t>
            </w:r>
            <w:r w:rsidR="007802FD" w:rsidRPr="007802FD">
              <w:rPr>
                <w:rFonts w:eastAsia="Times New Roman" w:cs="Arial"/>
                <w:bCs/>
                <w:sz w:val="16"/>
                <w:szCs w:val="16"/>
                <w:lang w:eastAsia="es-MX"/>
              </w:rPr>
              <w:t>3,196,359.</w:t>
            </w:r>
            <w:r w:rsidRPr="007802FD">
              <w:rPr>
                <w:rFonts w:eastAsia="Times New Roman" w:cs="Arial"/>
                <w:bCs/>
                <w:sz w:val="16"/>
                <w:szCs w:val="16"/>
                <w:lang w:eastAsia="es-MX"/>
              </w:rPr>
              <w:t>00</w:t>
            </w:r>
          </w:p>
        </w:tc>
      </w:tr>
    </w:tbl>
    <w:p w:rsidR="00631CB8" w:rsidRDefault="00631CB8" w:rsidP="00631CB8">
      <w:pPr>
        <w:rPr>
          <w:color w:val="FF0000"/>
          <w:sz w:val="20"/>
        </w:rPr>
      </w:pPr>
    </w:p>
    <w:p w:rsidR="00D964CB" w:rsidRPr="00880A42" w:rsidRDefault="00D964CB" w:rsidP="00880A42">
      <w:pPr>
        <w:pStyle w:val="tabla1cap8"/>
        <w:ind w:left="0" w:firstLine="0"/>
      </w:pPr>
      <w:r w:rsidRPr="00880A42">
        <w:t xml:space="preserve">Inversión total requerida para el cumplimiento de los Objetivos del Plan de Manejo (por </w:t>
      </w:r>
      <w:r w:rsidR="007026A9" w:rsidRPr="00880A42">
        <w:t>periodo</w:t>
      </w:r>
      <w:r w:rsidRPr="00880A42">
        <w:t>)</w:t>
      </w:r>
    </w:p>
    <w:tbl>
      <w:tblPr>
        <w:tblW w:w="5001" w:type="pct"/>
        <w:tblBorders>
          <w:top w:val="single" w:sz="12" w:space="0" w:color="008000"/>
          <w:bottom w:val="single" w:sz="12" w:space="0" w:color="008000"/>
        </w:tblBorders>
        <w:tblLook w:val="04A0"/>
      </w:tblPr>
      <w:tblGrid>
        <w:gridCol w:w="381"/>
        <w:gridCol w:w="5300"/>
        <w:gridCol w:w="1189"/>
        <w:gridCol w:w="1002"/>
        <w:gridCol w:w="1017"/>
        <w:gridCol w:w="1017"/>
      </w:tblGrid>
      <w:tr w:rsidR="007802FD" w:rsidRPr="007802FD" w:rsidTr="00D964CB">
        <w:trPr>
          <w:trHeight w:val="20"/>
          <w:tblHeader/>
        </w:trPr>
        <w:tc>
          <w:tcPr>
            <w:tcW w:w="193" w:type="pct"/>
            <w:tcBorders>
              <w:bottom w:val="single" w:sz="6" w:space="0" w:color="008000"/>
            </w:tcBorders>
            <w:vAlign w:val="center"/>
          </w:tcPr>
          <w:p w:rsidR="00631CB8" w:rsidRPr="007802FD" w:rsidRDefault="00631CB8" w:rsidP="005529BE">
            <w:pPr>
              <w:spacing w:before="20" w:after="20" w:line="240" w:lineRule="auto"/>
              <w:ind w:firstLine="0"/>
              <w:jc w:val="center"/>
              <w:rPr>
                <w:rFonts w:eastAsia="Times New Roman" w:cs="Arial"/>
                <w:sz w:val="16"/>
                <w:szCs w:val="16"/>
                <w:lang w:eastAsia="es-MX"/>
              </w:rPr>
            </w:pPr>
          </w:p>
        </w:tc>
        <w:tc>
          <w:tcPr>
            <w:tcW w:w="2674" w:type="pct"/>
            <w:tcBorders>
              <w:bottom w:val="single" w:sz="6" w:space="0" w:color="008000"/>
            </w:tcBorders>
            <w:shd w:val="clear" w:color="auto" w:fill="auto"/>
            <w:vAlign w:val="center"/>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Objetivo</w:t>
            </w:r>
          </w:p>
        </w:tc>
        <w:tc>
          <w:tcPr>
            <w:tcW w:w="600" w:type="pct"/>
            <w:tcBorders>
              <w:bottom w:val="single" w:sz="6" w:space="0" w:color="008000"/>
            </w:tcBorders>
            <w:shd w:val="clear" w:color="auto" w:fill="auto"/>
            <w:vAlign w:val="center"/>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2011-2012</w:t>
            </w:r>
          </w:p>
        </w:tc>
        <w:tc>
          <w:tcPr>
            <w:tcW w:w="506" w:type="pct"/>
            <w:tcBorders>
              <w:bottom w:val="single" w:sz="6" w:space="0" w:color="008000"/>
            </w:tcBorders>
            <w:shd w:val="clear" w:color="auto" w:fill="auto"/>
            <w:vAlign w:val="center"/>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2013-2018</w:t>
            </w:r>
          </w:p>
        </w:tc>
        <w:tc>
          <w:tcPr>
            <w:tcW w:w="513" w:type="pct"/>
            <w:tcBorders>
              <w:bottom w:val="single" w:sz="6" w:space="0" w:color="008000"/>
            </w:tcBorders>
            <w:shd w:val="clear" w:color="auto" w:fill="auto"/>
            <w:vAlign w:val="center"/>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2019-2040</w:t>
            </w:r>
          </w:p>
        </w:tc>
        <w:tc>
          <w:tcPr>
            <w:tcW w:w="513" w:type="pct"/>
            <w:tcBorders>
              <w:bottom w:val="single" w:sz="6" w:space="0" w:color="008000"/>
            </w:tcBorders>
            <w:shd w:val="clear" w:color="auto" w:fill="auto"/>
            <w:vAlign w:val="center"/>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Total</w:t>
            </w:r>
          </w:p>
        </w:tc>
      </w:tr>
      <w:tr w:rsidR="007802FD" w:rsidRPr="007802FD" w:rsidTr="00D964CB">
        <w:trPr>
          <w:trHeight w:val="20"/>
        </w:trPr>
        <w:tc>
          <w:tcPr>
            <w:tcW w:w="193" w:type="pct"/>
            <w:vAlign w:val="center"/>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1</w:t>
            </w:r>
          </w:p>
        </w:tc>
        <w:tc>
          <w:tcPr>
            <w:tcW w:w="267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 xml:space="preserve">Mejorar la productividad del agua en el sector agrícola </w:t>
            </w:r>
          </w:p>
        </w:tc>
        <w:tc>
          <w:tcPr>
            <w:tcW w:w="600" w:type="pct"/>
            <w:shd w:val="clear" w:color="auto" w:fill="auto"/>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68,899</w:t>
            </w:r>
            <w:r w:rsidRPr="007802FD">
              <w:rPr>
                <w:rFonts w:eastAsia="Times New Roman" w:cs="Arial"/>
                <w:sz w:val="16"/>
                <w:szCs w:val="16"/>
                <w:lang w:eastAsia="es-MX"/>
              </w:rPr>
              <w:t xml:space="preserve"> </w:t>
            </w:r>
          </w:p>
        </w:tc>
        <w:tc>
          <w:tcPr>
            <w:tcW w:w="506" w:type="pct"/>
            <w:shd w:val="clear" w:color="auto" w:fill="auto"/>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249,948</w:t>
            </w:r>
            <w:r w:rsidRPr="007802FD">
              <w:rPr>
                <w:rFonts w:eastAsia="Times New Roman" w:cs="Arial"/>
                <w:sz w:val="16"/>
                <w:szCs w:val="16"/>
                <w:lang w:eastAsia="es-MX"/>
              </w:rPr>
              <w:t xml:space="preserve"> </w:t>
            </w:r>
          </w:p>
        </w:tc>
        <w:tc>
          <w:tcPr>
            <w:tcW w:w="513" w:type="pct"/>
            <w:shd w:val="clear" w:color="auto" w:fill="auto"/>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896,317</w:t>
            </w:r>
            <w:r w:rsidRPr="007802FD">
              <w:rPr>
                <w:rFonts w:eastAsia="Times New Roman" w:cs="Arial"/>
                <w:sz w:val="16"/>
                <w:szCs w:val="16"/>
                <w:lang w:eastAsia="es-MX"/>
              </w:rPr>
              <w:t xml:space="preserve"> </w:t>
            </w:r>
          </w:p>
        </w:tc>
        <w:tc>
          <w:tcPr>
            <w:tcW w:w="513" w:type="pct"/>
            <w:shd w:val="clear" w:color="auto" w:fill="auto"/>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1,260,164</w:t>
            </w:r>
            <w:r w:rsidRPr="007802FD">
              <w:rPr>
                <w:rFonts w:eastAsia="Times New Roman" w:cs="Arial"/>
                <w:sz w:val="16"/>
                <w:szCs w:val="16"/>
                <w:lang w:eastAsia="es-MX"/>
              </w:rPr>
              <w:t xml:space="preserve"> </w:t>
            </w:r>
          </w:p>
        </w:tc>
      </w:tr>
      <w:tr w:rsidR="007802FD" w:rsidRPr="007802FD" w:rsidTr="00D964CB">
        <w:trPr>
          <w:trHeight w:val="20"/>
        </w:trPr>
        <w:tc>
          <w:tcPr>
            <w:tcW w:w="193" w:type="pct"/>
            <w:vAlign w:val="center"/>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2</w:t>
            </w:r>
          </w:p>
        </w:tc>
        <w:tc>
          <w:tcPr>
            <w:tcW w:w="267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Incrementar el acceso y la calidad de los servicios de agua potable, alcantarillado y saneamiento</w:t>
            </w:r>
          </w:p>
        </w:tc>
        <w:tc>
          <w:tcPr>
            <w:tcW w:w="600"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$200,227 </w:t>
            </w:r>
          </w:p>
        </w:tc>
        <w:tc>
          <w:tcPr>
            <w:tcW w:w="506"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$333,796 </w:t>
            </w:r>
          </w:p>
        </w:tc>
        <w:tc>
          <w:tcPr>
            <w:tcW w:w="513"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$380,315 </w:t>
            </w:r>
          </w:p>
        </w:tc>
        <w:tc>
          <w:tcPr>
            <w:tcW w:w="513"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$914,339 </w:t>
            </w:r>
          </w:p>
        </w:tc>
      </w:tr>
      <w:tr w:rsidR="007802FD" w:rsidRPr="007802FD" w:rsidTr="00D964CB">
        <w:trPr>
          <w:trHeight w:val="20"/>
        </w:trPr>
        <w:tc>
          <w:tcPr>
            <w:tcW w:w="193" w:type="pct"/>
            <w:vAlign w:val="center"/>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3</w:t>
            </w:r>
          </w:p>
        </w:tc>
        <w:tc>
          <w:tcPr>
            <w:tcW w:w="267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 xml:space="preserve">Promover el manejo integrado del agua en cuencas y acuíferos </w:t>
            </w:r>
          </w:p>
        </w:tc>
        <w:tc>
          <w:tcPr>
            <w:tcW w:w="600" w:type="pct"/>
            <w:shd w:val="clear" w:color="auto" w:fill="auto"/>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25,066</w:t>
            </w:r>
            <w:r w:rsidRPr="007802FD">
              <w:rPr>
                <w:rFonts w:eastAsia="Times New Roman" w:cs="Arial"/>
                <w:sz w:val="16"/>
                <w:szCs w:val="16"/>
                <w:lang w:eastAsia="es-MX"/>
              </w:rPr>
              <w:t xml:space="preserve"> </w:t>
            </w:r>
          </w:p>
        </w:tc>
        <w:tc>
          <w:tcPr>
            <w:tcW w:w="506" w:type="pct"/>
            <w:shd w:val="clear" w:color="auto" w:fill="auto"/>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72,500</w:t>
            </w:r>
            <w:r w:rsidRPr="007802FD">
              <w:rPr>
                <w:rFonts w:eastAsia="Times New Roman" w:cs="Arial"/>
                <w:sz w:val="16"/>
                <w:szCs w:val="16"/>
                <w:lang w:eastAsia="es-MX"/>
              </w:rPr>
              <w:t xml:space="preserve"> </w:t>
            </w:r>
          </w:p>
        </w:tc>
        <w:tc>
          <w:tcPr>
            <w:tcW w:w="513" w:type="pct"/>
            <w:shd w:val="clear" w:color="auto" w:fill="auto"/>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275,733</w:t>
            </w:r>
            <w:r w:rsidRPr="007802FD">
              <w:rPr>
                <w:rFonts w:eastAsia="Times New Roman" w:cs="Arial"/>
                <w:sz w:val="16"/>
                <w:szCs w:val="16"/>
                <w:lang w:eastAsia="es-MX"/>
              </w:rPr>
              <w:t xml:space="preserve"> </w:t>
            </w:r>
          </w:p>
        </w:tc>
        <w:tc>
          <w:tcPr>
            <w:tcW w:w="513" w:type="pct"/>
            <w:shd w:val="clear" w:color="auto" w:fill="auto"/>
            <w:vAlign w:val="center"/>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376,000</w:t>
            </w:r>
            <w:r w:rsidRPr="007802FD">
              <w:rPr>
                <w:rFonts w:eastAsia="Times New Roman" w:cs="Arial"/>
                <w:sz w:val="16"/>
                <w:szCs w:val="16"/>
                <w:lang w:eastAsia="es-MX"/>
              </w:rPr>
              <w:t xml:space="preserve"> </w:t>
            </w:r>
          </w:p>
        </w:tc>
      </w:tr>
      <w:tr w:rsidR="007802FD" w:rsidRPr="007802FD" w:rsidTr="00D964CB">
        <w:trPr>
          <w:trHeight w:val="20"/>
        </w:trPr>
        <w:tc>
          <w:tcPr>
            <w:tcW w:w="193" w:type="pct"/>
            <w:vAlign w:val="center"/>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4</w:t>
            </w:r>
          </w:p>
        </w:tc>
        <w:tc>
          <w:tcPr>
            <w:tcW w:w="267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 xml:space="preserve">Mejorar el desarrollo técnico, administrativo y financiero del sector hidráulico </w:t>
            </w:r>
          </w:p>
        </w:tc>
        <w:tc>
          <w:tcPr>
            <w:tcW w:w="600"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$18,633 </w:t>
            </w:r>
          </w:p>
        </w:tc>
        <w:tc>
          <w:tcPr>
            <w:tcW w:w="506"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$55,900 </w:t>
            </w:r>
          </w:p>
        </w:tc>
        <w:tc>
          <w:tcPr>
            <w:tcW w:w="513"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$204,967 </w:t>
            </w:r>
          </w:p>
        </w:tc>
        <w:tc>
          <w:tcPr>
            <w:tcW w:w="513"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$279,500 </w:t>
            </w:r>
          </w:p>
        </w:tc>
      </w:tr>
      <w:tr w:rsidR="007802FD" w:rsidRPr="007802FD" w:rsidTr="00D964CB">
        <w:trPr>
          <w:trHeight w:val="20"/>
        </w:trPr>
        <w:tc>
          <w:tcPr>
            <w:tcW w:w="193" w:type="pct"/>
            <w:vAlign w:val="center"/>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5</w:t>
            </w:r>
          </w:p>
        </w:tc>
        <w:tc>
          <w:tcPr>
            <w:tcW w:w="267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Consolidar la participación de los usuarios y la sociedad organizada en el manejo del agua y promover la cultura del buen uso</w:t>
            </w:r>
          </w:p>
        </w:tc>
        <w:tc>
          <w:tcPr>
            <w:tcW w:w="600"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$21,391 </w:t>
            </w:r>
          </w:p>
        </w:tc>
        <w:tc>
          <w:tcPr>
            <w:tcW w:w="506"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$65,373 </w:t>
            </w:r>
          </w:p>
        </w:tc>
        <w:tc>
          <w:tcPr>
            <w:tcW w:w="513"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$234,102 </w:t>
            </w:r>
          </w:p>
        </w:tc>
        <w:tc>
          <w:tcPr>
            <w:tcW w:w="513"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$320,866 </w:t>
            </w:r>
          </w:p>
        </w:tc>
      </w:tr>
      <w:tr w:rsidR="007802FD" w:rsidRPr="007802FD" w:rsidTr="00D964CB">
        <w:trPr>
          <w:trHeight w:val="20"/>
        </w:trPr>
        <w:tc>
          <w:tcPr>
            <w:tcW w:w="193" w:type="pct"/>
            <w:vAlign w:val="center"/>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6</w:t>
            </w:r>
          </w:p>
        </w:tc>
        <w:tc>
          <w:tcPr>
            <w:tcW w:w="267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Prevenir los riesgos derivados de los fenómenos meteorológicos e hidrometeorológicos y atender sus efectos</w:t>
            </w:r>
          </w:p>
        </w:tc>
        <w:tc>
          <w:tcPr>
            <w:tcW w:w="600"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$3,596 </w:t>
            </w:r>
          </w:p>
        </w:tc>
        <w:tc>
          <w:tcPr>
            <w:tcW w:w="506"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$4,388 </w:t>
            </w:r>
          </w:p>
        </w:tc>
        <w:tc>
          <w:tcPr>
            <w:tcW w:w="513"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$14,016 </w:t>
            </w:r>
          </w:p>
        </w:tc>
        <w:tc>
          <w:tcPr>
            <w:tcW w:w="513" w:type="pct"/>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$22,000 </w:t>
            </w:r>
          </w:p>
        </w:tc>
      </w:tr>
      <w:tr w:rsidR="007802FD" w:rsidRPr="007802FD" w:rsidTr="00D964CB">
        <w:trPr>
          <w:trHeight w:val="20"/>
        </w:trPr>
        <w:tc>
          <w:tcPr>
            <w:tcW w:w="193" w:type="pct"/>
            <w:vAlign w:val="center"/>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7</w:t>
            </w:r>
          </w:p>
        </w:tc>
        <w:tc>
          <w:tcPr>
            <w:tcW w:w="267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Evaluar los efectos del cambio climático e hidrológico global y local</w:t>
            </w:r>
          </w:p>
        </w:tc>
        <w:tc>
          <w:tcPr>
            <w:tcW w:w="600" w:type="pct"/>
            <w:tcBorders>
              <w:bottom w:val="nil"/>
            </w:tcBorders>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$4,450 </w:t>
            </w:r>
          </w:p>
        </w:tc>
        <w:tc>
          <w:tcPr>
            <w:tcW w:w="506" w:type="pct"/>
            <w:tcBorders>
              <w:bottom w:val="nil"/>
            </w:tcBorders>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$100 </w:t>
            </w:r>
          </w:p>
        </w:tc>
        <w:tc>
          <w:tcPr>
            <w:tcW w:w="513" w:type="pct"/>
            <w:tcBorders>
              <w:bottom w:val="nil"/>
            </w:tcBorders>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$1,050 </w:t>
            </w:r>
          </w:p>
        </w:tc>
        <w:tc>
          <w:tcPr>
            <w:tcW w:w="513" w:type="pct"/>
            <w:tcBorders>
              <w:bottom w:val="nil"/>
            </w:tcBorders>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$5,600 </w:t>
            </w:r>
          </w:p>
        </w:tc>
      </w:tr>
      <w:tr w:rsidR="007802FD" w:rsidRPr="007802FD" w:rsidTr="00D964CB">
        <w:trPr>
          <w:trHeight w:val="20"/>
        </w:trPr>
        <w:tc>
          <w:tcPr>
            <w:tcW w:w="193" w:type="pct"/>
            <w:vAlign w:val="center"/>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8</w:t>
            </w:r>
          </w:p>
        </w:tc>
        <w:tc>
          <w:tcPr>
            <w:tcW w:w="2674" w:type="pct"/>
            <w:shd w:val="clear" w:color="auto" w:fill="auto"/>
            <w:hideMark/>
          </w:tcPr>
          <w:p w:rsidR="00631CB8" w:rsidRPr="007802FD" w:rsidRDefault="00631CB8" w:rsidP="005529BE">
            <w:pPr>
              <w:spacing w:before="20" w:after="20" w:line="240" w:lineRule="auto"/>
              <w:ind w:firstLine="0"/>
              <w:jc w:val="left"/>
              <w:rPr>
                <w:rFonts w:eastAsia="Times New Roman" w:cs="Arial"/>
                <w:sz w:val="16"/>
                <w:szCs w:val="16"/>
                <w:lang w:eastAsia="es-MX"/>
              </w:rPr>
            </w:pPr>
            <w:r w:rsidRPr="007802FD">
              <w:rPr>
                <w:rFonts w:eastAsia="Times New Roman" w:cs="Arial"/>
                <w:sz w:val="16"/>
                <w:szCs w:val="16"/>
                <w:lang w:eastAsia="es-MX"/>
              </w:rPr>
              <w:t>Crear una cultura contributiva y de cumplimiento a la LAN en materia administrativa</w:t>
            </w:r>
          </w:p>
        </w:tc>
        <w:tc>
          <w:tcPr>
            <w:tcW w:w="600" w:type="pct"/>
            <w:tcBorders>
              <w:top w:val="nil"/>
              <w:bottom w:val="single" w:sz="4" w:space="0" w:color="auto"/>
            </w:tcBorders>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$3,578 </w:t>
            </w:r>
          </w:p>
        </w:tc>
        <w:tc>
          <w:tcPr>
            <w:tcW w:w="506" w:type="pct"/>
            <w:tcBorders>
              <w:top w:val="nil"/>
              <w:bottom w:val="single" w:sz="4" w:space="0" w:color="auto"/>
            </w:tcBorders>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$3,578 </w:t>
            </w:r>
          </w:p>
        </w:tc>
        <w:tc>
          <w:tcPr>
            <w:tcW w:w="513" w:type="pct"/>
            <w:tcBorders>
              <w:top w:val="nil"/>
              <w:bottom w:val="single" w:sz="4" w:space="0" w:color="auto"/>
            </w:tcBorders>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$10,734 </w:t>
            </w:r>
          </w:p>
        </w:tc>
        <w:tc>
          <w:tcPr>
            <w:tcW w:w="513" w:type="pct"/>
            <w:tcBorders>
              <w:top w:val="nil"/>
              <w:bottom w:val="single" w:sz="4" w:space="0" w:color="auto"/>
            </w:tcBorders>
            <w:shd w:val="clear" w:color="auto" w:fill="auto"/>
            <w:vAlign w:val="center"/>
            <w:hideMark/>
          </w:tcPr>
          <w:p w:rsidR="00631CB8" w:rsidRPr="007802FD" w:rsidRDefault="00631CB8" w:rsidP="005529BE">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 xml:space="preserve">$17,890 </w:t>
            </w:r>
          </w:p>
        </w:tc>
      </w:tr>
      <w:tr w:rsidR="007802FD" w:rsidRPr="007802FD" w:rsidTr="00D964CB">
        <w:trPr>
          <w:trHeight w:val="20"/>
        </w:trPr>
        <w:tc>
          <w:tcPr>
            <w:tcW w:w="193" w:type="pct"/>
          </w:tcPr>
          <w:p w:rsidR="00631CB8" w:rsidRPr="007802FD" w:rsidRDefault="00631CB8" w:rsidP="005529BE">
            <w:pPr>
              <w:spacing w:before="20" w:after="20" w:line="240" w:lineRule="auto"/>
              <w:ind w:firstLine="0"/>
              <w:jc w:val="right"/>
              <w:rPr>
                <w:rFonts w:eastAsia="Times New Roman" w:cs="Arial"/>
                <w:sz w:val="16"/>
                <w:szCs w:val="16"/>
                <w:lang w:eastAsia="es-MX"/>
              </w:rPr>
            </w:pPr>
          </w:p>
        </w:tc>
        <w:tc>
          <w:tcPr>
            <w:tcW w:w="2674" w:type="pct"/>
            <w:shd w:val="clear" w:color="auto" w:fill="auto"/>
            <w:hideMark/>
          </w:tcPr>
          <w:p w:rsidR="00631CB8" w:rsidRPr="007802FD" w:rsidRDefault="00631CB8" w:rsidP="005529BE">
            <w:pPr>
              <w:spacing w:before="20" w:after="20" w:line="240" w:lineRule="auto"/>
              <w:ind w:firstLine="0"/>
              <w:jc w:val="center"/>
              <w:rPr>
                <w:rFonts w:eastAsia="Times New Roman" w:cs="Arial"/>
                <w:sz w:val="16"/>
                <w:szCs w:val="16"/>
                <w:lang w:eastAsia="es-MX"/>
              </w:rPr>
            </w:pPr>
            <w:r w:rsidRPr="007802FD">
              <w:rPr>
                <w:rFonts w:eastAsia="Times New Roman" w:cs="Arial"/>
                <w:sz w:val="16"/>
                <w:szCs w:val="16"/>
                <w:lang w:eastAsia="es-MX"/>
              </w:rPr>
              <w:t>Total General</w:t>
            </w:r>
          </w:p>
        </w:tc>
        <w:tc>
          <w:tcPr>
            <w:tcW w:w="600" w:type="pct"/>
            <w:tcBorders>
              <w:top w:val="single" w:sz="4" w:space="0" w:color="auto"/>
            </w:tcBorders>
            <w:shd w:val="clear" w:color="auto" w:fill="auto"/>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$3</w:t>
            </w:r>
            <w:r w:rsidR="007802FD" w:rsidRPr="007802FD">
              <w:rPr>
                <w:rFonts w:eastAsia="Times New Roman" w:cs="Arial"/>
                <w:sz w:val="16"/>
                <w:szCs w:val="16"/>
                <w:lang w:eastAsia="es-MX"/>
              </w:rPr>
              <w:t>45,841</w:t>
            </w:r>
            <w:r w:rsidRPr="007802FD">
              <w:rPr>
                <w:rFonts w:eastAsia="Times New Roman" w:cs="Arial"/>
                <w:sz w:val="16"/>
                <w:szCs w:val="16"/>
                <w:lang w:eastAsia="es-MX"/>
              </w:rPr>
              <w:t xml:space="preserve"> </w:t>
            </w:r>
          </w:p>
        </w:tc>
        <w:tc>
          <w:tcPr>
            <w:tcW w:w="506" w:type="pct"/>
            <w:tcBorders>
              <w:top w:val="single" w:sz="4" w:space="0" w:color="auto"/>
            </w:tcBorders>
            <w:shd w:val="clear" w:color="auto" w:fill="auto"/>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833,283</w:t>
            </w:r>
            <w:r w:rsidRPr="007802FD">
              <w:rPr>
                <w:rFonts w:eastAsia="Times New Roman" w:cs="Arial"/>
                <w:sz w:val="16"/>
                <w:szCs w:val="16"/>
                <w:lang w:eastAsia="es-MX"/>
              </w:rPr>
              <w:t xml:space="preserve"> </w:t>
            </w:r>
          </w:p>
        </w:tc>
        <w:tc>
          <w:tcPr>
            <w:tcW w:w="513" w:type="pct"/>
            <w:tcBorders>
              <w:top w:val="single" w:sz="4" w:space="0" w:color="auto"/>
            </w:tcBorders>
            <w:shd w:val="clear" w:color="auto" w:fill="auto"/>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2,017,234</w:t>
            </w:r>
            <w:r w:rsidRPr="007802FD">
              <w:rPr>
                <w:rFonts w:eastAsia="Times New Roman" w:cs="Arial"/>
                <w:sz w:val="16"/>
                <w:szCs w:val="16"/>
                <w:lang w:eastAsia="es-MX"/>
              </w:rPr>
              <w:t xml:space="preserve"> </w:t>
            </w:r>
          </w:p>
        </w:tc>
        <w:tc>
          <w:tcPr>
            <w:tcW w:w="513" w:type="pct"/>
            <w:tcBorders>
              <w:top w:val="single" w:sz="4" w:space="0" w:color="auto"/>
            </w:tcBorders>
            <w:shd w:val="clear" w:color="auto" w:fill="auto"/>
            <w:hideMark/>
          </w:tcPr>
          <w:p w:rsidR="00631CB8" w:rsidRPr="007802FD" w:rsidRDefault="00631CB8" w:rsidP="007802FD">
            <w:pPr>
              <w:spacing w:before="20" w:after="20" w:line="240" w:lineRule="auto"/>
              <w:ind w:firstLine="0"/>
              <w:jc w:val="right"/>
              <w:rPr>
                <w:rFonts w:eastAsia="Times New Roman" w:cs="Arial"/>
                <w:sz w:val="16"/>
                <w:szCs w:val="16"/>
                <w:lang w:eastAsia="es-MX"/>
              </w:rPr>
            </w:pPr>
            <w:r w:rsidRPr="007802FD">
              <w:rPr>
                <w:rFonts w:eastAsia="Times New Roman" w:cs="Arial"/>
                <w:sz w:val="16"/>
                <w:szCs w:val="16"/>
                <w:lang w:eastAsia="es-MX"/>
              </w:rPr>
              <w:t>$</w:t>
            </w:r>
            <w:r w:rsidR="007802FD" w:rsidRPr="007802FD">
              <w:rPr>
                <w:rFonts w:eastAsia="Times New Roman" w:cs="Arial"/>
                <w:sz w:val="16"/>
                <w:szCs w:val="16"/>
                <w:lang w:eastAsia="es-MX"/>
              </w:rPr>
              <w:t>3,196,359</w:t>
            </w:r>
            <w:r w:rsidRPr="007802FD">
              <w:rPr>
                <w:rFonts w:eastAsia="Times New Roman" w:cs="Arial"/>
                <w:sz w:val="16"/>
                <w:szCs w:val="16"/>
                <w:lang w:eastAsia="es-MX"/>
              </w:rPr>
              <w:t xml:space="preserve"> </w:t>
            </w:r>
          </w:p>
        </w:tc>
      </w:tr>
    </w:tbl>
    <w:p w:rsidR="00631CB8" w:rsidRDefault="00631CB8" w:rsidP="00631CB8">
      <w:pPr>
        <w:rPr>
          <w:color w:val="FF0000"/>
          <w:sz w:val="20"/>
        </w:rPr>
      </w:pPr>
    </w:p>
    <w:p w:rsidR="00631CB8" w:rsidRPr="005D479D" w:rsidRDefault="00631CB8" w:rsidP="00631CB8">
      <w:pPr>
        <w:rPr>
          <w:sz w:val="20"/>
        </w:rPr>
      </w:pPr>
      <w:r w:rsidRPr="005D479D">
        <w:rPr>
          <w:sz w:val="20"/>
        </w:rPr>
        <w:t>Beneficios e impactos</w:t>
      </w:r>
    </w:p>
    <w:p w:rsidR="00631CB8" w:rsidRPr="005D479D" w:rsidRDefault="00631CB8" w:rsidP="00631CB8">
      <w:pPr>
        <w:rPr>
          <w:sz w:val="20"/>
        </w:rPr>
      </w:pPr>
      <w:r w:rsidRPr="005D479D">
        <w:rPr>
          <w:sz w:val="20"/>
        </w:rPr>
        <w:t xml:space="preserve">Entre los beneficios e impactos del presente Plan de Manejo, se tiene que: en el ámbito hidrológico, el plan reducirá la sobreexplotación; en términos socioeconómicos, el plan promueve la valoración del agua, la reorientación de </w:t>
      </w:r>
      <w:r w:rsidRPr="00E60180">
        <w:rPr>
          <w:sz w:val="20"/>
        </w:rPr>
        <w:t xml:space="preserve">subsidios y </w:t>
      </w:r>
      <w:r w:rsidR="00904BC1" w:rsidRPr="00E60180">
        <w:rPr>
          <w:sz w:val="20"/>
        </w:rPr>
        <w:t xml:space="preserve">el incremento de la utilidad total de la actividad agrícola y el freno al incremento </w:t>
      </w:r>
      <w:r w:rsidR="00904BC1" w:rsidRPr="00E60180">
        <w:rPr>
          <w:sz w:val="20"/>
        </w:rPr>
        <w:lastRenderedPageBreak/>
        <w:t>de costos debidos a la sobreexplotación</w:t>
      </w:r>
      <w:r w:rsidRPr="00E60180">
        <w:rPr>
          <w:sz w:val="20"/>
        </w:rPr>
        <w:t>;</w:t>
      </w:r>
      <w:r w:rsidRPr="005D479D">
        <w:rPr>
          <w:sz w:val="20"/>
        </w:rPr>
        <w:t xml:space="preserve"> en términos ambientales el proyecto propone restablecer el equilibrio hidrológico y así evitar el agotamiento del agua en éste medio, sin omitir la protección de la calidad del agua.</w:t>
      </w:r>
    </w:p>
    <w:p w:rsidR="00631CB8" w:rsidRPr="005D479D" w:rsidRDefault="00631CB8" w:rsidP="00631CB8">
      <w:pPr>
        <w:rPr>
          <w:sz w:val="20"/>
        </w:rPr>
      </w:pPr>
      <w:r w:rsidRPr="005D479D">
        <w:rPr>
          <w:sz w:val="20"/>
        </w:rPr>
        <w:t>Implementación</w:t>
      </w:r>
    </w:p>
    <w:p w:rsidR="00631CB8" w:rsidRPr="005D479D" w:rsidRDefault="00631CB8" w:rsidP="00631CB8">
      <w:pPr>
        <w:rPr>
          <w:sz w:val="20"/>
        </w:rPr>
      </w:pPr>
      <w:r w:rsidRPr="005D479D">
        <w:rPr>
          <w:sz w:val="20"/>
        </w:rPr>
        <w:t>En términos de implementación, se propone la aplicación modificada del Círculo de Mejora Continua (Planear, Realizar, Verificar y Actuar), tomando en cuenta la ejecución de Acciones preliminares, Principales y de Apoyo.</w:t>
      </w:r>
    </w:p>
    <w:p w:rsidR="00631CB8" w:rsidRDefault="00631CB8" w:rsidP="00631CB8">
      <w:pPr>
        <w:rPr>
          <w:sz w:val="20"/>
        </w:rPr>
      </w:pPr>
      <w:r w:rsidRPr="005D479D">
        <w:rPr>
          <w:sz w:val="20"/>
        </w:rPr>
        <w:t>A partir del diagnostico respectivo, se evaluaron diversas estrategias tendientes a resolver en el inmediato, corto, mediano y largo plazo, las problemáticas más sobresalientes.  Esta actividad se ve reflejada en la Matriz de Planeación en la cual se detalla el conjunto de actividades necesarias para cumplir el Objetivo General.</w:t>
      </w:r>
    </w:p>
    <w:p w:rsidR="0062634B" w:rsidRDefault="00D4608A" w:rsidP="00D4608A">
      <w:pPr>
        <w:pStyle w:val="Ttulo1"/>
      </w:pPr>
      <w:bookmarkStart w:id="35" w:name="_Toc283641784"/>
      <w:r>
        <w:t>Conclusiones y recomendaciones</w:t>
      </w:r>
      <w:bookmarkEnd w:id="35"/>
    </w:p>
    <w:p w:rsidR="000E71C1" w:rsidRDefault="000E71C1" w:rsidP="00D05378">
      <w:pPr>
        <w:pStyle w:val="Ttulo2"/>
        <w:numPr>
          <w:ilvl w:val="0"/>
          <w:numId w:val="0"/>
        </w:numPr>
        <w:ind w:firstLine="428"/>
      </w:pPr>
      <w:bookmarkStart w:id="36" w:name="_Toc260095384"/>
      <w:bookmarkStart w:id="37" w:name="_Toc274069768"/>
      <w:bookmarkStart w:id="38" w:name="_Toc283641785"/>
      <w:r>
        <w:t>Conclusiones</w:t>
      </w:r>
      <w:bookmarkEnd w:id="36"/>
      <w:bookmarkEnd w:id="37"/>
      <w:bookmarkEnd w:id="38"/>
    </w:p>
    <w:p w:rsidR="000E71C1" w:rsidRPr="000E71C1" w:rsidRDefault="000E71C1" w:rsidP="00726B9E">
      <w:pPr>
        <w:numPr>
          <w:ilvl w:val="0"/>
          <w:numId w:val="88"/>
        </w:numPr>
        <w:ind w:left="428"/>
        <w:rPr>
          <w:sz w:val="20"/>
        </w:rPr>
      </w:pPr>
      <w:r w:rsidRPr="000E71C1">
        <w:rPr>
          <w:sz w:val="20"/>
        </w:rPr>
        <w:t>El aprovechamiento de agua subterránea ha reducido progresivamente las descargas verticales</w:t>
      </w:r>
      <w:r w:rsidR="00CC5240">
        <w:rPr>
          <w:sz w:val="20"/>
        </w:rPr>
        <w:t xml:space="preserve"> del acuífero HLOP a través de </w:t>
      </w:r>
      <w:r w:rsidR="00CC5240" w:rsidRPr="000E71C1">
        <w:rPr>
          <w:sz w:val="20"/>
        </w:rPr>
        <w:t>las lagunas de</w:t>
      </w:r>
      <w:r w:rsidR="00CC5240">
        <w:rPr>
          <w:sz w:val="20"/>
        </w:rPr>
        <w:t xml:space="preserve"> E</w:t>
      </w:r>
      <w:r w:rsidR="00CC5240" w:rsidRPr="000E71C1">
        <w:rPr>
          <w:sz w:val="20"/>
        </w:rPr>
        <w:t>l Carmen y El Salado</w:t>
      </w:r>
      <w:r w:rsidR="00CC5240">
        <w:rPr>
          <w:sz w:val="20"/>
        </w:rPr>
        <w:t>,</w:t>
      </w:r>
      <w:r w:rsidRPr="000E71C1">
        <w:rPr>
          <w:sz w:val="20"/>
        </w:rPr>
        <w:t xml:space="preserve"> con grandes cambios en </w:t>
      </w:r>
      <w:r w:rsidR="00CC5240">
        <w:rPr>
          <w:sz w:val="20"/>
        </w:rPr>
        <w:t>éstas</w:t>
      </w:r>
      <w:r w:rsidRPr="000E71C1">
        <w:rPr>
          <w:sz w:val="20"/>
        </w:rPr>
        <w:t xml:space="preserve">, que se han vuelto estacionales y cada vez </w:t>
      </w:r>
      <w:r w:rsidR="00CC5240">
        <w:rPr>
          <w:sz w:val="20"/>
        </w:rPr>
        <w:t xml:space="preserve">más </w:t>
      </w:r>
      <w:r w:rsidRPr="000E71C1">
        <w:rPr>
          <w:sz w:val="20"/>
        </w:rPr>
        <w:t>de formación más esporádica.</w:t>
      </w:r>
    </w:p>
    <w:p w:rsidR="000E71C1" w:rsidRPr="000E71C1" w:rsidRDefault="000E71C1" w:rsidP="00726B9E">
      <w:pPr>
        <w:numPr>
          <w:ilvl w:val="0"/>
          <w:numId w:val="88"/>
        </w:numPr>
        <w:ind w:left="428"/>
        <w:rPr>
          <w:sz w:val="20"/>
        </w:rPr>
      </w:pPr>
      <w:r w:rsidRPr="000E71C1">
        <w:rPr>
          <w:sz w:val="20"/>
        </w:rPr>
        <w:t xml:space="preserve">Los acuíferos de </w:t>
      </w:r>
      <w:r w:rsidR="00CC5240">
        <w:rPr>
          <w:sz w:val="20"/>
        </w:rPr>
        <w:t>HLOP</w:t>
      </w:r>
      <w:r w:rsidRPr="000E71C1">
        <w:rPr>
          <w:sz w:val="20"/>
        </w:rPr>
        <w:t>, se encuentran en una cuenca susceptible a los procesos de desertificación, que han sido acelerados por deforestación, cambio de uso de suelo y desecación de los lagos</w:t>
      </w:r>
      <w:r w:rsidR="00CC5240">
        <w:rPr>
          <w:sz w:val="20"/>
        </w:rPr>
        <w:t>. L</w:t>
      </w:r>
      <w:r w:rsidRPr="000E71C1">
        <w:rPr>
          <w:sz w:val="20"/>
        </w:rPr>
        <w:t>a pérdida de la reserva subterránea se refleja también en lagos cráter</w:t>
      </w:r>
      <w:r w:rsidR="00CC5240">
        <w:rPr>
          <w:sz w:val="20"/>
        </w:rPr>
        <w:t>,</w:t>
      </w:r>
      <w:r w:rsidRPr="000E71C1">
        <w:rPr>
          <w:sz w:val="20"/>
        </w:rPr>
        <w:t xml:space="preserve"> que de ser ocho originalmente, en la actualidad quedan seis y uno está por desaparecer.</w:t>
      </w:r>
    </w:p>
    <w:p w:rsidR="000E71C1" w:rsidRPr="000E71C1" w:rsidRDefault="000E71C1" w:rsidP="00726B9E">
      <w:pPr>
        <w:numPr>
          <w:ilvl w:val="0"/>
          <w:numId w:val="88"/>
        </w:numPr>
        <w:ind w:left="428"/>
        <w:rPr>
          <w:sz w:val="20"/>
        </w:rPr>
      </w:pPr>
      <w:r w:rsidRPr="000E71C1">
        <w:rPr>
          <w:sz w:val="20"/>
        </w:rPr>
        <w:t>El acuífero de Libres – Oriental, dentro de sus límites oficiales, cuenta con una porción localizada al Oriente del Pico de Orizaba, misma que carece de una relación hidrogeológica con la Cuenca de Oriental.  El acuífero de Perote – Zalayeta, en su zona norte, presenta una zona que carece de aprovechamientos y presenta importantes condiciones de recarga, además de las descargas propias del acuífero hacia el Acuífero Martínez de la Torre.</w:t>
      </w:r>
    </w:p>
    <w:p w:rsidR="000E71C1" w:rsidRPr="000E71C1" w:rsidRDefault="000E71C1" w:rsidP="00726B9E">
      <w:pPr>
        <w:numPr>
          <w:ilvl w:val="0"/>
          <w:numId w:val="88"/>
        </w:numPr>
        <w:ind w:left="428"/>
        <w:rPr>
          <w:sz w:val="20"/>
        </w:rPr>
      </w:pPr>
      <w:r w:rsidRPr="000E71C1">
        <w:rPr>
          <w:sz w:val="20"/>
        </w:rPr>
        <w:t xml:space="preserve">En general, los tres acuíferos presentan una tendencia de abatimiento lenta, </w:t>
      </w:r>
      <w:r w:rsidR="00CC5240">
        <w:rPr>
          <w:sz w:val="20"/>
        </w:rPr>
        <w:t>siendo el abatimiento medio ponderado regional de 0.37 m/año.</w:t>
      </w:r>
    </w:p>
    <w:p w:rsidR="000E71C1" w:rsidRPr="000E71C1" w:rsidRDefault="000E71C1" w:rsidP="00726B9E">
      <w:pPr>
        <w:numPr>
          <w:ilvl w:val="0"/>
          <w:numId w:val="88"/>
        </w:numPr>
        <w:ind w:left="428"/>
        <w:rPr>
          <w:sz w:val="20"/>
        </w:rPr>
      </w:pPr>
      <w:r w:rsidRPr="000E71C1">
        <w:rPr>
          <w:sz w:val="20"/>
        </w:rPr>
        <w:t>La elevada permeabilidad de los suelos y la gran extensión del acuífero Libres – Oriental, conjugada con la moderada tasa de abatimiento, hace que durante años con lluvias extraordinarias el acuífero tenga importantes recuperaciones que se concentran en las áreas lacustres, zonas de descarga que dan origen a las lagunas.</w:t>
      </w:r>
    </w:p>
    <w:p w:rsidR="000E71C1" w:rsidRPr="000E71C1" w:rsidRDefault="000E71C1" w:rsidP="00726B9E">
      <w:pPr>
        <w:numPr>
          <w:ilvl w:val="0"/>
          <w:numId w:val="88"/>
        </w:numPr>
        <w:ind w:left="428"/>
        <w:rPr>
          <w:sz w:val="20"/>
        </w:rPr>
      </w:pPr>
      <w:r w:rsidRPr="000E71C1">
        <w:rPr>
          <w:sz w:val="20"/>
        </w:rPr>
        <w:t>En la década de 2000 a 2009, la superficie agrícola de riego tuvo un comportamiento est</w:t>
      </w:r>
      <w:r w:rsidR="00402EFA">
        <w:rPr>
          <w:sz w:val="20"/>
        </w:rPr>
        <w:t>able en general -excepto en el e</w:t>
      </w:r>
      <w:r w:rsidRPr="000E71C1">
        <w:rPr>
          <w:sz w:val="20"/>
        </w:rPr>
        <w:t>stado de Tlaxcala</w:t>
      </w:r>
      <w:r w:rsidR="00402EFA">
        <w:rPr>
          <w:sz w:val="20"/>
        </w:rPr>
        <w:t>-</w:t>
      </w:r>
      <w:r w:rsidRPr="000E71C1">
        <w:rPr>
          <w:sz w:val="20"/>
        </w:rPr>
        <w:t>, donde se presentó una reducción de la superficie.  Dadas estas condiciones, la demanda inercial del sector agrícola es actualmente a la baja.</w:t>
      </w:r>
    </w:p>
    <w:p w:rsidR="000E71C1" w:rsidRPr="000E71C1" w:rsidRDefault="00402EFA" w:rsidP="00726B9E">
      <w:pPr>
        <w:numPr>
          <w:ilvl w:val="0"/>
          <w:numId w:val="88"/>
        </w:numPr>
        <w:ind w:left="428"/>
        <w:rPr>
          <w:sz w:val="20"/>
        </w:rPr>
      </w:pPr>
      <w:r>
        <w:rPr>
          <w:sz w:val="20"/>
        </w:rPr>
        <w:t>El acuífero Libres–</w:t>
      </w:r>
      <w:r w:rsidR="000E71C1" w:rsidRPr="000E71C1">
        <w:rPr>
          <w:sz w:val="20"/>
        </w:rPr>
        <w:t xml:space="preserve">Oriental aun cuando presenta una reserva almacenada cuantiosa y con un moderado ritmo de abatimiento, el </w:t>
      </w:r>
      <w:r>
        <w:rPr>
          <w:sz w:val="20"/>
        </w:rPr>
        <w:t xml:space="preserve">sistema </w:t>
      </w:r>
      <w:proofErr w:type="spellStart"/>
      <w:r>
        <w:rPr>
          <w:sz w:val="20"/>
        </w:rPr>
        <w:t>h</w:t>
      </w:r>
      <w:r w:rsidR="000E71C1" w:rsidRPr="000E71C1">
        <w:rPr>
          <w:sz w:val="20"/>
        </w:rPr>
        <w:t>drológico</w:t>
      </w:r>
      <w:proofErr w:type="spellEnd"/>
      <w:r w:rsidR="000E71C1" w:rsidRPr="000E71C1">
        <w:rPr>
          <w:sz w:val="20"/>
        </w:rPr>
        <w:t xml:space="preserve"> de su cuenca es susceptible a una gran sensibilidad a los abatimientos.  </w:t>
      </w:r>
    </w:p>
    <w:p w:rsidR="000E71C1" w:rsidRPr="000E71C1" w:rsidRDefault="000E71C1" w:rsidP="00726B9E">
      <w:pPr>
        <w:numPr>
          <w:ilvl w:val="0"/>
          <w:numId w:val="88"/>
        </w:numPr>
        <w:ind w:left="428"/>
        <w:rPr>
          <w:sz w:val="20"/>
        </w:rPr>
      </w:pPr>
      <w:r w:rsidRPr="000E71C1">
        <w:rPr>
          <w:sz w:val="20"/>
        </w:rPr>
        <w:lastRenderedPageBreak/>
        <w:t>Dado que los tres acuíferos presentan en general un abatimiento, se concluye que existe un desequilibrio en su balance, sin embargo, actualmente ese desequilibrio tiene sus principales efectos en el medio ambiente y en las captaciones someras.</w:t>
      </w:r>
    </w:p>
    <w:p w:rsidR="000E71C1" w:rsidRPr="000E71C1" w:rsidRDefault="000E71C1" w:rsidP="00726B9E">
      <w:pPr>
        <w:numPr>
          <w:ilvl w:val="0"/>
          <w:numId w:val="88"/>
        </w:numPr>
        <w:ind w:left="428"/>
        <w:rPr>
          <w:sz w:val="20"/>
        </w:rPr>
      </w:pPr>
      <w:r w:rsidRPr="000E71C1">
        <w:rPr>
          <w:sz w:val="20"/>
        </w:rPr>
        <w:t>Por medio de políticas de manejo del acuífero por zonas, y con diversas acciones sobre la demanda, será posible recuperar en un mediano plazo condiciones en el acuífero similares a las observadas en la primera década de los años noventa.</w:t>
      </w:r>
    </w:p>
    <w:p w:rsidR="000E71C1" w:rsidRPr="000E71C1" w:rsidRDefault="000E71C1" w:rsidP="00726B9E">
      <w:pPr>
        <w:numPr>
          <w:ilvl w:val="0"/>
          <w:numId w:val="88"/>
        </w:numPr>
        <w:ind w:left="428"/>
        <w:rPr>
          <w:sz w:val="20"/>
        </w:rPr>
      </w:pPr>
      <w:r w:rsidRPr="000E71C1">
        <w:rPr>
          <w:sz w:val="20"/>
        </w:rPr>
        <w:t>El análisis de precipitación para los últimos 30 años en los acuíferos de Huamantla y Libres</w:t>
      </w:r>
      <w:r w:rsidR="00402EFA">
        <w:rPr>
          <w:sz w:val="20"/>
        </w:rPr>
        <w:t>–</w:t>
      </w:r>
      <w:r w:rsidRPr="000E71C1">
        <w:rPr>
          <w:sz w:val="20"/>
        </w:rPr>
        <w:t>Oriental, presenta una tendencia a la baja, que puede tener una relación directa con la situación de los lagos, que progresivamente han sido secados.</w:t>
      </w:r>
    </w:p>
    <w:p w:rsidR="000E71C1" w:rsidRPr="000E71C1" w:rsidRDefault="000E71C1" w:rsidP="00726B9E">
      <w:pPr>
        <w:numPr>
          <w:ilvl w:val="0"/>
          <w:numId w:val="88"/>
        </w:numPr>
        <w:ind w:left="428"/>
        <w:rPr>
          <w:sz w:val="20"/>
        </w:rPr>
      </w:pPr>
      <w:r w:rsidRPr="000E71C1">
        <w:rPr>
          <w:sz w:val="20"/>
        </w:rPr>
        <w:t>Se estima que la extracción total actual del acuífero, asciende a poco más de 334 millones de metros cúbicos, cifra que supera en casi cien millones el volumen concesionado, esta tasa de aprovechamiento tiende a mantener secas las lagunas y a mantener un ritmo de abatimiento en el futuro.</w:t>
      </w:r>
    </w:p>
    <w:p w:rsidR="000E71C1" w:rsidRPr="000E71C1" w:rsidRDefault="000E71C1" w:rsidP="00726B9E">
      <w:pPr>
        <w:numPr>
          <w:ilvl w:val="0"/>
          <w:numId w:val="88"/>
        </w:numPr>
        <w:ind w:left="428"/>
        <w:rPr>
          <w:sz w:val="20"/>
        </w:rPr>
      </w:pPr>
      <w:r w:rsidRPr="000E71C1">
        <w:rPr>
          <w:sz w:val="20"/>
        </w:rPr>
        <w:t>La sobreexplotación histórica ha tenido efectos mínimos o nulos en los pozos profundos, mientras se carece de un registro de norias o aprovechamientos someros afectados, de manera que el sobrecosto económico causado, es por mucho inferior al valor económico de la producción lograda a través del aprovechamiento de aguas subterráneas.  Igualmente, estos abatimientos no han causado a la fecha fallas, fracturas, colapso de pozos ni daños de cualquier índole a la infraestructura.</w:t>
      </w:r>
    </w:p>
    <w:p w:rsidR="000E71C1" w:rsidRPr="000E71C1" w:rsidRDefault="000E71C1" w:rsidP="00726B9E">
      <w:pPr>
        <w:numPr>
          <w:ilvl w:val="0"/>
          <w:numId w:val="88"/>
        </w:numPr>
        <w:ind w:left="428"/>
        <w:rPr>
          <w:sz w:val="20"/>
        </w:rPr>
      </w:pPr>
      <w:r w:rsidRPr="000E71C1">
        <w:rPr>
          <w:sz w:val="20"/>
        </w:rPr>
        <w:t>Debido a que en la actualidad el acuífero presenta ya una respuesta de abatimiento ante el aprovechamiento de las aguas subterráneas, cualquier proyecto de trasvase de aguas desde la Cuenca de Oriental hacia otras cuencas externas, causaría un gran desequilibrio ambiental en la cuenca, así como un progresivo deterioro en la calidad de los suelos y del agua.</w:t>
      </w:r>
    </w:p>
    <w:p w:rsidR="000E71C1" w:rsidRPr="000E71C1" w:rsidRDefault="000E71C1" w:rsidP="00726B9E">
      <w:pPr>
        <w:numPr>
          <w:ilvl w:val="0"/>
          <w:numId w:val="88"/>
        </w:numPr>
        <w:ind w:left="428"/>
        <w:rPr>
          <w:sz w:val="20"/>
        </w:rPr>
      </w:pPr>
      <w:r w:rsidRPr="000E71C1">
        <w:rPr>
          <w:sz w:val="20"/>
        </w:rPr>
        <w:t xml:space="preserve">Las alternativas de uso eficiente del agua, representan por sí solas, medidas suficientes para la estabilización del acuífero, esto sin necesidad de recurrir a otras alternativas para el manejo de la demanda, como son: el </w:t>
      </w:r>
      <w:proofErr w:type="spellStart"/>
      <w:r w:rsidRPr="000E71C1">
        <w:rPr>
          <w:sz w:val="20"/>
        </w:rPr>
        <w:t>reuso</w:t>
      </w:r>
      <w:proofErr w:type="spellEnd"/>
      <w:r w:rsidRPr="000E71C1">
        <w:rPr>
          <w:sz w:val="20"/>
        </w:rPr>
        <w:t>, el banco de derechos de agua y la recarga artificial de acuíferos.</w:t>
      </w:r>
    </w:p>
    <w:p w:rsidR="000E71C1" w:rsidRPr="002B3D62" w:rsidRDefault="000E71C1" w:rsidP="00D05378">
      <w:pPr>
        <w:pStyle w:val="Ttulo2"/>
        <w:numPr>
          <w:ilvl w:val="0"/>
          <w:numId w:val="0"/>
        </w:numPr>
        <w:ind w:firstLine="360"/>
      </w:pPr>
      <w:bookmarkStart w:id="39" w:name="_Toc260095385"/>
      <w:bookmarkStart w:id="40" w:name="_Toc274069769"/>
      <w:bookmarkStart w:id="41" w:name="_Toc283641786"/>
      <w:r>
        <w:t>Recomendaciones</w:t>
      </w:r>
      <w:bookmarkEnd w:id="39"/>
      <w:bookmarkEnd w:id="40"/>
      <w:bookmarkEnd w:id="41"/>
    </w:p>
    <w:p w:rsidR="000E71C1" w:rsidRPr="000E71C1" w:rsidRDefault="000E71C1" w:rsidP="00726B9E">
      <w:pPr>
        <w:numPr>
          <w:ilvl w:val="0"/>
          <w:numId w:val="89"/>
        </w:numPr>
        <w:rPr>
          <w:sz w:val="20"/>
        </w:rPr>
      </w:pPr>
      <w:r w:rsidRPr="000E71C1">
        <w:rPr>
          <w:sz w:val="20"/>
        </w:rPr>
        <w:t xml:space="preserve">En las áreas próximas a las lagunas y a los lagos cráter, es conveniente </w:t>
      </w:r>
      <w:r w:rsidR="00904BC1">
        <w:rPr>
          <w:sz w:val="20"/>
        </w:rPr>
        <w:t>reducir</w:t>
      </w:r>
      <w:r w:rsidRPr="000E71C1">
        <w:rPr>
          <w:sz w:val="20"/>
        </w:rPr>
        <w:t xml:space="preserve"> el aprovechamiento de aguas subterráneas, ya que impactan directamente sobre las lagunas.   Dichas lagunas a su vez </w:t>
      </w:r>
      <w:r w:rsidR="00904BC1">
        <w:rPr>
          <w:sz w:val="20"/>
        </w:rPr>
        <w:t xml:space="preserve">debe instrumentarse mediante </w:t>
      </w:r>
      <w:r w:rsidRPr="000E71C1">
        <w:rPr>
          <w:sz w:val="20"/>
        </w:rPr>
        <w:t>piezómetros.</w:t>
      </w:r>
    </w:p>
    <w:p w:rsidR="000E71C1" w:rsidRPr="000E71C1" w:rsidRDefault="000E71C1" w:rsidP="00726B9E">
      <w:pPr>
        <w:numPr>
          <w:ilvl w:val="0"/>
          <w:numId w:val="89"/>
        </w:numPr>
        <w:rPr>
          <w:sz w:val="20"/>
        </w:rPr>
      </w:pPr>
      <w:r w:rsidRPr="000E71C1">
        <w:rPr>
          <w:sz w:val="20"/>
        </w:rPr>
        <w:t xml:space="preserve">En los sitios próximos a las áreas de descarga de manantiales, es igualmente inconveniente construir nuevas captaciones, que pueden interferir con la afluencia de flujo </w:t>
      </w:r>
      <w:proofErr w:type="spellStart"/>
      <w:r w:rsidRPr="000E71C1">
        <w:rPr>
          <w:sz w:val="20"/>
        </w:rPr>
        <w:t>subsuperficial</w:t>
      </w:r>
      <w:proofErr w:type="spellEnd"/>
      <w:r w:rsidRPr="000E71C1">
        <w:rPr>
          <w:sz w:val="20"/>
        </w:rPr>
        <w:t>.</w:t>
      </w:r>
    </w:p>
    <w:p w:rsidR="000E71C1" w:rsidRPr="000E71C1" w:rsidRDefault="000E71C1" w:rsidP="00726B9E">
      <w:pPr>
        <w:numPr>
          <w:ilvl w:val="0"/>
          <w:numId w:val="89"/>
        </w:numPr>
        <w:rPr>
          <w:sz w:val="20"/>
        </w:rPr>
      </w:pPr>
      <w:r w:rsidRPr="000E71C1">
        <w:rPr>
          <w:sz w:val="20"/>
        </w:rPr>
        <w:t>Es conveniente detener el abatimiento de los niveles piezométricos en cada uno de los acuíferos.</w:t>
      </w:r>
    </w:p>
    <w:sectPr w:rsidR="000E71C1" w:rsidRPr="000E71C1" w:rsidSect="00505AAA">
      <w:type w:val="continuous"/>
      <w:pgSz w:w="12240" w:h="15840" w:code="1"/>
      <w:pgMar w:top="1701" w:right="1134" w:bottom="1701" w:left="1418" w:header="709" w:footer="567"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26B9E" w:rsidRDefault="00726B9E" w:rsidP="00014C20">
      <w:r>
        <w:separator/>
      </w:r>
    </w:p>
    <w:p w:rsidR="00726B9E" w:rsidRDefault="00726B9E" w:rsidP="00014C20"/>
    <w:p w:rsidR="00726B9E" w:rsidRDefault="00726B9E" w:rsidP="00014C20"/>
    <w:p w:rsidR="00726B9E" w:rsidRDefault="00726B9E" w:rsidP="00014C20"/>
  </w:endnote>
  <w:endnote w:type="continuationSeparator" w:id="0">
    <w:p w:rsidR="00726B9E" w:rsidRDefault="00726B9E" w:rsidP="00014C20">
      <w:r>
        <w:continuationSeparator/>
      </w:r>
    </w:p>
    <w:p w:rsidR="00726B9E" w:rsidRDefault="00726B9E" w:rsidP="00014C20"/>
    <w:p w:rsidR="00726B9E" w:rsidRDefault="00726B9E" w:rsidP="00014C20"/>
    <w:p w:rsidR="00726B9E" w:rsidRDefault="00726B9E" w:rsidP="00014C20"/>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AFF" w:usb1="C000605B" w:usb2="00000029" w:usb3="00000000" w:csb0="000101FF" w:csb1="00000000"/>
  </w:font>
  <w:font w:name="Myriad Web Pro">
    <w:altName w:val="Corbel"/>
    <w:panose1 w:val="020B0503030403020204"/>
    <w:charset w:val="00"/>
    <w:family w:val="swiss"/>
    <w:pitch w:val="variable"/>
    <w:sig w:usb0="8000002F" w:usb1="5000204A" w:usb2="00000000" w:usb3="00000000" w:csb0="00000093" w:csb1="00000000"/>
  </w:font>
  <w:font w:name="Helvetica">
    <w:panose1 w:val="020B0604020202020204"/>
    <w:charset w:val="00"/>
    <w:family w:val="swiss"/>
    <w:pitch w:val="variable"/>
    <w:sig w:usb0="20002A87" w:usb1="00000000" w:usb2="00000000" w:usb3="00000000" w:csb0="000001FF" w:csb1="00000000"/>
  </w:font>
  <w:font w:name="Arial Rounded MT Bold">
    <w:panose1 w:val="020F0704030504030204"/>
    <w:charset w:val="00"/>
    <w:family w:val="swiss"/>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B5F" w:rsidRDefault="00B72B5F" w:rsidP="00C350E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B72B5F" w:rsidRDefault="00B72B5F" w:rsidP="00B63D12">
    <w:pPr>
      <w:pStyle w:val="Piedepgina"/>
      <w:ind w:right="360"/>
      <w:rPr>
        <w:rStyle w:val="Nmerodepgina"/>
      </w:rPr>
    </w:pPr>
  </w:p>
  <w:p w:rsidR="00B72B5F" w:rsidRDefault="00B72B5F" w:rsidP="00014C20">
    <w:pPr>
      <w:pStyle w:val="Piedepgina"/>
      <w:rPr>
        <w:rStyle w:val="Nmerodepgina"/>
      </w:rPr>
    </w:pPr>
  </w:p>
  <w:p w:rsidR="00B72B5F" w:rsidRDefault="00B72B5F" w:rsidP="00014C20">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shd w:val="clear" w:color="000000" w:fill="auto"/>
      <w:tblLook w:val="01E0"/>
    </w:tblPr>
    <w:tblGrid>
      <w:gridCol w:w="4068"/>
      <w:gridCol w:w="5760"/>
    </w:tblGrid>
    <w:tr w:rsidR="00B72B5F">
      <w:tc>
        <w:tcPr>
          <w:tcW w:w="4068" w:type="dxa"/>
          <w:shd w:val="clear" w:color="000000" w:fill="auto"/>
        </w:tcPr>
        <w:p w:rsidR="00B72B5F" w:rsidRPr="002C55FB" w:rsidRDefault="00B72B5F" w:rsidP="002C55FB">
          <w:pPr>
            <w:pStyle w:val="Piedepgina"/>
            <w:ind w:firstLine="0"/>
            <w:rPr>
              <w:rFonts w:eastAsia="Times New Roman"/>
              <w:b/>
              <w:bCs/>
            </w:rPr>
          </w:pPr>
          <w:r>
            <w:rPr>
              <w:rFonts w:eastAsia="Times New Roman"/>
              <w:b/>
              <w:noProof/>
              <w:lang w:eastAsia="es-MX"/>
            </w:rPr>
            <w:drawing>
              <wp:inline distT="0" distB="0" distL="0" distR="0">
                <wp:extent cx="2400300" cy="914400"/>
                <wp:effectExtent l="19050" t="0" r="0" b="0"/>
                <wp:docPr id="10" name="Imagen 3" descr="LogoOct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LogoOct2007"/>
                        <pic:cNvPicPr>
                          <a:picLocks noChangeAspect="1" noChangeArrowheads="1"/>
                        </pic:cNvPicPr>
                      </pic:nvPicPr>
                      <pic:blipFill>
                        <a:blip r:embed="rId1"/>
                        <a:srcRect/>
                        <a:stretch>
                          <a:fillRect/>
                        </a:stretch>
                      </pic:blipFill>
                      <pic:spPr bwMode="auto">
                        <a:xfrm>
                          <a:off x="0" y="0"/>
                          <a:ext cx="2400300" cy="914400"/>
                        </a:xfrm>
                        <a:prstGeom prst="rect">
                          <a:avLst/>
                        </a:prstGeom>
                        <a:noFill/>
                        <a:ln w="9525">
                          <a:noFill/>
                          <a:miter lim="800000"/>
                          <a:headEnd/>
                          <a:tailEnd/>
                        </a:ln>
                      </pic:spPr>
                    </pic:pic>
                  </a:graphicData>
                </a:graphic>
              </wp:inline>
            </w:drawing>
          </w:r>
        </w:p>
      </w:tc>
      <w:tc>
        <w:tcPr>
          <w:tcW w:w="5760" w:type="dxa"/>
          <w:shd w:val="clear" w:color="000000" w:fill="auto"/>
        </w:tcPr>
        <w:p w:rsidR="00B72B5F" w:rsidRPr="002C55FB" w:rsidRDefault="00B72B5F" w:rsidP="00B613A7">
          <w:pPr>
            <w:pStyle w:val="Piedepgina"/>
            <w:ind w:firstLine="0"/>
            <w:jc w:val="right"/>
            <w:rPr>
              <w:rFonts w:eastAsia="Times New Roman"/>
              <w:b/>
              <w:bCs/>
            </w:rPr>
          </w:pPr>
        </w:p>
        <w:p w:rsidR="00B72B5F" w:rsidRDefault="00B72B5F" w:rsidP="00B613A7">
          <w:pPr>
            <w:pStyle w:val="Piedepgina"/>
            <w:ind w:firstLine="0"/>
            <w:jc w:val="right"/>
            <w:rPr>
              <w:rFonts w:eastAsia="Times New Roman"/>
              <w:b/>
              <w:bCs/>
            </w:rPr>
          </w:pPr>
          <w:r>
            <w:rPr>
              <w:rFonts w:eastAsia="Times New Roman"/>
              <w:b/>
              <w:bCs/>
            </w:rPr>
            <w:t>Av. División del Norte No. 3184-3</w:t>
          </w:r>
        </w:p>
        <w:p w:rsidR="00B72B5F" w:rsidRDefault="00B72B5F" w:rsidP="00B613A7">
          <w:pPr>
            <w:pStyle w:val="Piedepgina"/>
            <w:ind w:firstLine="0"/>
            <w:jc w:val="right"/>
            <w:rPr>
              <w:rFonts w:eastAsia="Times New Roman"/>
              <w:b/>
              <w:bCs/>
            </w:rPr>
          </w:pPr>
          <w:r>
            <w:rPr>
              <w:rFonts w:eastAsia="Times New Roman"/>
              <w:b/>
              <w:bCs/>
            </w:rPr>
            <w:t>Col Ciudad Jardín, Coyoacán</w:t>
          </w:r>
        </w:p>
        <w:p w:rsidR="00B72B5F" w:rsidRDefault="00B72B5F" w:rsidP="00B613A7">
          <w:pPr>
            <w:pStyle w:val="Piedepgina"/>
            <w:ind w:firstLine="0"/>
            <w:jc w:val="right"/>
            <w:rPr>
              <w:rFonts w:eastAsia="Times New Roman"/>
              <w:b/>
              <w:bCs/>
            </w:rPr>
          </w:pPr>
          <w:r>
            <w:rPr>
              <w:rFonts w:eastAsia="Times New Roman"/>
              <w:b/>
              <w:bCs/>
            </w:rPr>
            <w:t>México, D.F.</w:t>
          </w:r>
        </w:p>
        <w:p w:rsidR="00B72B5F" w:rsidRPr="002C55FB" w:rsidRDefault="00B72B5F" w:rsidP="00B613A7">
          <w:pPr>
            <w:pStyle w:val="Piedepgina"/>
            <w:ind w:firstLine="0"/>
            <w:jc w:val="right"/>
            <w:rPr>
              <w:rFonts w:eastAsia="Times New Roman"/>
              <w:b/>
              <w:bCs/>
            </w:rPr>
          </w:pPr>
          <w:r>
            <w:rPr>
              <w:rFonts w:eastAsia="Times New Roman"/>
              <w:b/>
              <w:bCs/>
            </w:rPr>
            <w:t xml:space="preserve">C.P. 04370 </w:t>
          </w:r>
        </w:p>
      </w:tc>
    </w:tr>
  </w:tbl>
  <w:p w:rsidR="00B72B5F" w:rsidRDefault="00B72B5F" w:rsidP="000569FC"/>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B5F" w:rsidRPr="005F7337" w:rsidRDefault="00B72B5F" w:rsidP="00014C20">
    <w:pPr>
      <w:pStyle w:val="Piedepgina"/>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B5F" w:rsidRDefault="00B72B5F" w:rsidP="00C350E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880A42">
      <w:rPr>
        <w:rStyle w:val="Nmerodepgina"/>
        <w:noProof/>
      </w:rPr>
      <w:t>1</w:t>
    </w:r>
    <w:r>
      <w:rPr>
        <w:rStyle w:val="Nmerodepgina"/>
      </w:rPr>
      <w:fldChar w:fldCharType="end"/>
    </w:r>
  </w:p>
  <w:p w:rsidR="00B72B5F" w:rsidRPr="006D35B9" w:rsidRDefault="00B72B5F" w:rsidP="00B63D12">
    <w:pPr>
      <w:pStyle w:val="IGH"/>
      <w:ind w:right="360"/>
      <w:rPr>
        <w:lang w:val="es-MX"/>
      </w:rPr>
    </w:pPr>
    <w:r w:rsidRPr="006D35B9">
      <w:rPr>
        <w:lang w:val="es-MX"/>
      </w:rPr>
      <w:t xml:space="preserve">Ingeniería y Gestión Hídrica S. C.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26B9E" w:rsidRDefault="00726B9E" w:rsidP="00014C20">
      <w:r>
        <w:separator/>
      </w:r>
    </w:p>
    <w:p w:rsidR="00726B9E" w:rsidRDefault="00726B9E" w:rsidP="00014C20"/>
    <w:p w:rsidR="00726B9E" w:rsidRDefault="00726B9E" w:rsidP="00014C20"/>
    <w:p w:rsidR="00726B9E" w:rsidRDefault="00726B9E" w:rsidP="00014C20"/>
  </w:footnote>
  <w:footnote w:type="continuationSeparator" w:id="0">
    <w:p w:rsidR="00726B9E" w:rsidRDefault="00726B9E" w:rsidP="00014C20">
      <w:r>
        <w:continuationSeparator/>
      </w:r>
    </w:p>
    <w:p w:rsidR="00726B9E" w:rsidRDefault="00726B9E" w:rsidP="00014C20"/>
    <w:p w:rsidR="00726B9E" w:rsidRDefault="00726B9E" w:rsidP="00014C20"/>
    <w:p w:rsidR="00726B9E" w:rsidRDefault="00726B9E" w:rsidP="00014C20"/>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B5F" w:rsidRDefault="00B72B5F" w:rsidP="001A683F">
    <w:pPr>
      <w:ind w:firstLine="0"/>
      <w:jc w:val="left"/>
      <w:rPr>
        <w:b/>
        <w:color w:val="214F75"/>
        <w:szCs w:val="22"/>
      </w:rPr>
    </w:pPr>
    <w:r>
      <w:rPr>
        <w:noProof/>
        <w:lang w:eastAsia="es-MX"/>
      </w:rPr>
      <w:drawing>
        <wp:anchor distT="0" distB="0" distL="114300" distR="114300" simplePos="0" relativeHeight="251657728" behindDoc="0" locked="0" layoutInCell="1" allowOverlap="1">
          <wp:simplePos x="0" y="0"/>
          <wp:positionH relativeFrom="column">
            <wp:posOffset>4081780</wp:posOffset>
          </wp:positionH>
          <wp:positionV relativeFrom="paragraph">
            <wp:posOffset>-95885</wp:posOffset>
          </wp:positionV>
          <wp:extent cx="2070100" cy="825500"/>
          <wp:effectExtent l="19050" t="0" r="6350" b="0"/>
          <wp:wrapSquare wrapText="bothSides"/>
          <wp:docPr id="1" name="Imagen 1" descr="logo-c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cna"/>
                  <pic:cNvPicPr>
                    <a:picLocks noChangeAspect="1" noChangeArrowheads="1"/>
                  </pic:cNvPicPr>
                </pic:nvPicPr>
                <pic:blipFill>
                  <a:blip r:embed="rId1"/>
                  <a:srcRect/>
                  <a:stretch>
                    <a:fillRect/>
                  </a:stretch>
                </pic:blipFill>
                <pic:spPr bwMode="auto">
                  <a:xfrm>
                    <a:off x="0" y="0"/>
                    <a:ext cx="2070100" cy="825500"/>
                  </a:xfrm>
                  <a:prstGeom prst="rect">
                    <a:avLst/>
                  </a:prstGeom>
                  <a:noFill/>
                  <a:ln w="9525">
                    <a:noFill/>
                    <a:miter lim="800000"/>
                    <a:headEnd/>
                    <a:tailEnd/>
                  </a:ln>
                </pic:spPr>
              </pic:pic>
            </a:graphicData>
          </a:graphic>
        </wp:anchor>
      </w:drawing>
    </w:r>
    <w:r>
      <w:rPr>
        <w:b/>
        <w:color w:val="214F75"/>
        <w:szCs w:val="22"/>
      </w:rPr>
      <w:t>ORGANISMO DE CUENCA BALSAS</w:t>
    </w:r>
  </w:p>
  <w:p w:rsidR="00B72B5F" w:rsidRPr="001A683F" w:rsidRDefault="00B72B5F" w:rsidP="00042926">
    <w:pPr>
      <w:ind w:firstLine="0"/>
      <w:rPr>
        <w:b/>
        <w:color w:val="214F75"/>
        <w:szCs w:val="22"/>
      </w:rPr>
    </w:pPr>
    <w:r>
      <w:rPr>
        <w:b/>
        <w:color w:val="214F75"/>
        <w:szCs w:val="22"/>
      </w:rPr>
      <w:t>DIRECCIÓN TECNICA</w:t>
    </w:r>
  </w:p>
  <w:p w:rsidR="00B72B5F" w:rsidRDefault="00B72B5F" w:rsidP="001A683F">
    <w:pPr>
      <w:ind w:firstLine="0"/>
      <w:rPr>
        <w:b/>
        <w:color w:val="214F75"/>
        <w:szCs w:val="22"/>
      </w:rPr>
    </w:pPr>
    <w:r w:rsidRPr="000569FC">
      <w:rPr>
        <w:b/>
        <w:color w:val="214F75"/>
        <w:szCs w:val="22"/>
      </w:rPr>
      <w:t xml:space="preserve">SUBDIRECCIÓN </w:t>
    </w:r>
    <w:r>
      <w:rPr>
        <w:b/>
        <w:color w:val="214F75"/>
        <w:szCs w:val="22"/>
      </w:rPr>
      <w:t>DE AGUAS SUBTERRÁNEAS</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B5F" w:rsidRDefault="00B72B5F" w:rsidP="00014C20"/>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B5F" w:rsidRDefault="00B72B5F" w:rsidP="00014C20"/>
  <w:p w:rsidR="00B72B5F" w:rsidRDefault="00B72B5F" w:rsidP="00014C20"/>
  <w:p w:rsidR="00B72B5F" w:rsidRDefault="00B72B5F" w:rsidP="00014C20"/>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2B5F" w:rsidRDefault="00B72B5F" w:rsidP="00B63D12">
    <w:pPr>
      <w:pStyle w:val="IGH"/>
      <w:rPr>
        <w:noProof/>
        <w:lang w:val="es-MX"/>
      </w:rPr>
    </w:pPr>
    <w:r>
      <w:rPr>
        <w:noProof/>
        <w:lang w:val="es-MX"/>
      </w:rPr>
      <w:t>Manejo Integrado de las Aguas Subterráneas en el Acuífero</w:t>
    </w:r>
  </w:p>
  <w:p w:rsidR="00B72B5F" w:rsidRPr="006D35B9" w:rsidRDefault="00B72B5F" w:rsidP="00B63D12">
    <w:pPr>
      <w:pStyle w:val="IGH"/>
      <w:rPr>
        <w:lang w:val="es-MX"/>
      </w:rPr>
    </w:pPr>
    <w:r>
      <w:rPr>
        <w:noProof/>
        <w:lang w:val="es-MX"/>
      </w:rPr>
      <w:t>Huamantla-Libres Oriental-Perote, Pue. y Ver.</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84472"/>
    <w:multiLevelType w:val="multilevel"/>
    <w:tmpl w:val="95B82CDC"/>
    <w:lvl w:ilvl="0">
      <w:start w:val="1"/>
      <w:numFmt w:val="decimal"/>
      <w:pStyle w:val="Tabla1cap14"/>
      <w:suff w:val="space"/>
      <w:lvlText w:val="Tabl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
    <w:nsid w:val="066C1A98"/>
    <w:multiLevelType w:val="multilevel"/>
    <w:tmpl w:val="78586756"/>
    <w:lvl w:ilvl="0">
      <w:start w:val="1"/>
      <w:numFmt w:val="decimal"/>
      <w:pStyle w:val="cuadro1cap1"/>
      <w:suff w:val="space"/>
      <w:lvlText w:val="Cuadro 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
    <w:nsid w:val="07F50325"/>
    <w:multiLevelType w:val="multilevel"/>
    <w:tmpl w:val="DDA253D4"/>
    <w:lvl w:ilvl="0">
      <w:start w:val="1"/>
      <w:numFmt w:val="decimal"/>
      <w:pStyle w:val="cuadro1cap5"/>
      <w:suff w:val="space"/>
      <w:lvlText w:val="Cuadro 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
    <w:nsid w:val="094B2E37"/>
    <w:multiLevelType w:val="multilevel"/>
    <w:tmpl w:val="29B69F44"/>
    <w:lvl w:ilvl="0">
      <w:start w:val="1"/>
      <w:numFmt w:val="decimal"/>
      <w:pStyle w:val="figura1cap1"/>
      <w:suff w:val="space"/>
      <w:lvlText w:val="Figura 1.%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CBE071A"/>
    <w:multiLevelType w:val="multilevel"/>
    <w:tmpl w:val="73D2B902"/>
    <w:lvl w:ilvl="0">
      <w:start w:val="1"/>
      <w:numFmt w:val="decimal"/>
      <w:pStyle w:val="Grafica1cap12"/>
      <w:suff w:val="space"/>
      <w:lvlText w:val="Grafica 12.%1."/>
      <w:lvlJc w:val="left"/>
      <w:pPr>
        <w:ind w:left="357" w:hanging="357"/>
      </w:pPr>
      <w:rPr>
        <w:rFonts w:hint="default"/>
      </w:rPr>
    </w:lvl>
    <w:lvl w:ilvl="1">
      <w:start w:val="1"/>
      <w:numFmt w:val="decimal"/>
      <w:lvlText w:val="%1.%2."/>
      <w:lvlJc w:val="left"/>
      <w:pPr>
        <w:tabs>
          <w:tab w:val="num" w:pos="1364"/>
        </w:tabs>
        <w:ind w:left="1076" w:hanging="432"/>
      </w:pPr>
      <w:rPr>
        <w:rFonts w:hint="default"/>
      </w:rPr>
    </w:lvl>
    <w:lvl w:ilvl="2">
      <w:start w:val="1"/>
      <w:numFmt w:val="decimal"/>
      <w:lvlText w:val="%1.%2.%3."/>
      <w:lvlJc w:val="left"/>
      <w:pPr>
        <w:tabs>
          <w:tab w:val="num" w:pos="2084"/>
        </w:tabs>
        <w:ind w:left="1508" w:hanging="504"/>
      </w:pPr>
      <w:rPr>
        <w:rFonts w:hint="default"/>
      </w:rPr>
    </w:lvl>
    <w:lvl w:ilvl="3">
      <w:start w:val="1"/>
      <w:numFmt w:val="decimal"/>
      <w:lvlText w:val="%1.%2.%3.%4."/>
      <w:lvlJc w:val="left"/>
      <w:pPr>
        <w:tabs>
          <w:tab w:val="num" w:pos="2804"/>
        </w:tabs>
        <w:ind w:left="2012" w:hanging="648"/>
      </w:pPr>
      <w:rPr>
        <w:rFonts w:hint="default"/>
      </w:rPr>
    </w:lvl>
    <w:lvl w:ilvl="4">
      <w:start w:val="1"/>
      <w:numFmt w:val="decimal"/>
      <w:lvlText w:val="%1.%2.%3.%4.%5."/>
      <w:lvlJc w:val="left"/>
      <w:pPr>
        <w:tabs>
          <w:tab w:val="num" w:pos="3164"/>
        </w:tabs>
        <w:ind w:left="2516" w:hanging="792"/>
      </w:pPr>
      <w:rPr>
        <w:rFonts w:hint="default"/>
      </w:rPr>
    </w:lvl>
    <w:lvl w:ilvl="5">
      <w:start w:val="1"/>
      <w:numFmt w:val="decimal"/>
      <w:lvlText w:val="%1.%2.%3.%4.%5.%6."/>
      <w:lvlJc w:val="left"/>
      <w:pPr>
        <w:tabs>
          <w:tab w:val="num" w:pos="3884"/>
        </w:tabs>
        <w:ind w:left="3020" w:hanging="936"/>
      </w:pPr>
      <w:rPr>
        <w:rFonts w:hint="default"/>
      </w:rPr>
    </w:lvl>
    <w:lvl w:ilvl="6">
      <w:start w:val="1"/>
      <w:numFmt w:val="decimal"/>
      <w:lvlText w:val="%1.%2.%3.%4.%5.%6.%7."/>
      <w:lvlJc w:val="left"/>
      <w:pPr>
        <w:tabs>
          <w:tab w:val="num" w:pos="4604"/>
        </w:tabs>
        <w:ind w:left="3524" w:hanging="1080"/>
      </w:pPr>
      <w:rPr>
        <w:rFonts w:hint="default"/>
      </w:rPr>
    </w:lvl>
    <w:lvl w:ilvl="7">
      <w:start w:val="1"/>
      <w:numFmt w:val="decimal"/>
      <w:lvlText w:val="%1.%2.%3.%4.%5.%6.%7.%8."/>
      <w:lvlJc w:val="left"/>
      <w:pPr>
        <w:tabs>
          <w:tab w:val="num" w:pos="5324"/>
        </w:tabs>
        <w:ind w:left="4028" w:hanging="1224"/>
      </w:pPr>
      <w:rPr>
        <w:rFonts w:hint="default"/>
      </w:rPr>
    </w:lvl>
    <w:lvl w:ilvl="8">
      <w:start w:val="1"/>
      <w:numFmt w:val="decimal"/>
      <w:lvlText w:val="%1.%2.%3.%4.%5.%6.%7.%8.%9."/>
      <w:lvlJc w:val="left"/>
      <w:pPr>
        <w:tabs>
          <w:tab w:val="num" w:pos="6044"/>
        </w:tabs>
        <w:ind w:left="4604" w:hanging="1440"/>
      </w:pPr>
      <w:rPr>
        <w:rFonts w:hint="default"/>
      </w:rPr>
    </w:lvl>
  </w:abstractNum>
  <w:abstractNum w:abstractNumId="5">
    <w:nsid w:val="0D187C08"/>
    <w:multiLevelType w:val="multilevel"/>
    <w:tmpl w:val="63CC24FE"/>
    <w:lvl w:ilvl="0">
      <w:start w:val="1"/>
      <w:numFmt w:val="decimal"/>
      <w:pStyle w:val="Grafica1cap5"/>
      <w:isLgl/>
      <w:suff w:val="space"/>
      <w:lvlText w:val="Gráfica 5.%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
    <w:nsid w:val="0D617431"/>
    <w:multiLevelType w:val="multilevel"/>
    <w:tmpl w:val="76D89C1C"/>
    <w:lvl w:ilvl="0">
      <w:start w:val="1"/>
      <w:numFmt w:val="decimal"/>
      <w:pStyle w:val="Cuadro1cap14"/>
      <w:suff w:val="space"/>
      <w:lvlText w:val="Cuadro 14.%1."/>
      <w:lvlJc w:val="left"/>
      <w:pPr>
        <w:ind w:left="357" w:hanging="357"/>
      </w:pPr>
      <w:rPr>
        <w:rFonts w:hint="default"/>
      </w:rPr>
    </w:lvl>
    <w:lvl w:ilvl="1">
      <w:start w:val="1"/>
      <w:numFmt w:val="decimal"/>
      <w:lvlText w:val="%1.%2."/>
      <w:lvlJc w:val="left"/>
      <w:pPr>
        <w:tabs>
          <w:tab w:val="num" w:pos="1076"/>
        </w:tabs>
        <w:ind w:left="1076" w:hanging="432"/>
      </w:pPr>
      <w:rPr>
        <w:rFonts w:hint="default"/>
      </w:rPr>
    </w:lvl>
    <w:lvl w:ilvl="2">
      <w:start w:val="1"/>
      <w:numFmt w:val="decimal"/>
      <w:lvlText w:val="%1.%2.%3."/>
      <w:lvlJc w:val="left"/>
      <w:pPr>
        <w:tabs>
          <w:tab w:val="num" w:pos="1508"/>
        </w:tabs>
        <w:ind w:left="1508" w:hanging="504"/>
      </w:pPr>
      <w:rPr>
        <w:rFonts w:hint="default"/>
      </w:rPr>
    </w:lvl>
    <w:lvl w:ilvl="3">
      <w:start w:val="1"/>
      <w:numFmt w:val="decimal"/>
      <w:lvlText w:val="%1.%2.%3.%4."/>
      <w:lvlJc w:val="left"/>
      <w:pPr>
        <w:tabs>
          <w:tab w:val="num" w:pos="2084"/>
        </w:tabs>
        <w:ind w:left="2012" w:hanging="648"/>
      </w:pPr>
      <w:rPr>
        <w:rFonts w:hint="default"/>
      </w:rPr>
    </w:lvl>
    <w:lvl w:ilvl="4">
      <w:start w:val="1"/>
      <w:numFmt w:val="decimal"/>
      <w:lvlText w:val="%1.%2.%3.%4.%5."/>
      <w:lvlJc w:val="left"/>
      <w:pPr>
        <w:tabs>
          <w:tab w:val="num" w:pos="2804"/>
        </w:tabs>
        <w:ind w:left="2516" w:hanging="792"/>
      </w:pPr>
      <w:rPr>
        <w:rFonts w:hint="default"/>
      </w:rPr>
    </w:lvl>
    <w:lvl w:ilvl="5">
      <w:start w:val="1"/>
      <w:numFmt w:val="decimal"/>
      <w:lvlText w:val="%1.%2.%3.%4.%5.%6."/>
      <w:lvlJc w:val="left"/>
      <w:pPr>
        <w:tabs>
          <w:tab w:val="num" w:pos="3164"/>
        </w:tabs>
        <w:ind w:left="3020" w:hanging="936"/>
      </w:pPr>
      <w:rPr>
        <w:rFonts w:hint="default"/>
      </w:rPr>
    </w:lvl>
    <w:lvl w:ilvl="6">
      <w:start w:val="1"/>
      <w:numFmt w:val="decimal"/>
      <w:lvlText w:val="%1.%2.%3.%4.%5.%6.%7."/>
      <w:lvlJc w:val="left"/>
      <w:pPr>
        <w:tabs>
          <w:tab w:val="num" w:pos="3884"/>
        </w:tabs>
        <w:ind w:left="3524" w:hanging="1080"/>
      </w:pPr>
      <w:rPr>
        <w:rFonts w:hint="default"/>
      </w:rPr>
    </w:lvl>
    <w:lvl w:ilvl="7">
      <w:start w:val="1"/>
      <w:numFmt w:val="decimal"/>
      <w:lvlText w:val="%1.%2.%3.%4.%5.%6.%7.%8."/>
      <w:lvlJc w:val="left"/>
      <w:pPr>
        <w:tabs>
          <w:tab w:val="num" w:pos="4244"/>
        </w:tabs>
        <w:ind w:left="4028" w:hanging="1224"/>
      </w:pPr>
      <w:rPr>
        <w:rFonts w:hint="default"/>
      </w:rPr>
    </w:lvl>
    <w:lvl w:ilvl="8">
      <w:start w:val="1"/>
      <w:numFmt w:val="decimal"/>
      <w:lvlText w:val="%1.%2.%3.%4.%5.%6.%7.%8.%9."/>
      <w:lvlJc w:val="left"/>
      <w:pPr>
        <w:tabs>
          <w:tab w:val="num" w:pos="4964"/>
        </w:tabs>
        <w:ind w:left="4604" w:hanging="1440"/>
      </w:pPr>
      <w:rPr>
        <w:rFonts w:hint="default"/>
      </w:rPr>
    </w:lvl>
  </w:abstractNum>
  <w:abstractNum w:abstractNumId="7">
    <w:nsid w:val="0E04743A"/>
    <w:multiLevelType w:val="multilevel"/>
    <w:tmpl w:val="B08A2186"/>
    <w:lvl w:ilvl="0">
      <w:start w:val="1"/>
      <w:numFmt w:val="decimal"/>
      <w:pStyle w:val="figura1cap2"/>
      <w:suff w:val="space"/>
      <w:lvlText w:val="Figura 2.%1"/>
      <w:lvlJc w:val="left"/>
      <w:pPr>
        <w:ind w:left="0" w:firstLine="0"/>
      </w:pPr>
      <w:rPr>
        <w:rFonts w:hint="default"/>
      </w:rPr>
    </w:lvl>
    <w:lvl w:ilvl="1">
      <w:start w:val="1"/>
      <w:numFmt w:val="lowerLetter"/>
      <w:suff w:val="space"/>
      <w:lvlText w:val="Figura %1.%2."/>
      <w:lvlJc w:val="left"/>
      <w:pPr>
        <w:ind w:left="360" w:firstLine="0"/>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
    <w:nsid w:val="0E933D25"/>
    <w:multiLevelType w:val="multilevel"/>
    <w:tmpl w:val="99B8A360"/>
    <w:lvl w:ilvl="0">
      <w:start w:val="1"/>
      <w:numFmt w:val="decimal"/>
      <w:pStyle w:val="Tabla1cap5"/>
      <w:suff w:val="space"/>
      <w:lvlText w:val="Tabla 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9">
    <w:nsid w:val="0F223653"/>
    <w:multiLevelType w:val="hybridMultilevel"/>
    <w:tmpl w:val="90209A08"/>
    <w:lvl w:ilvl="0" w:tplc="0BA2BFFE">
      <w:start w:val="1"/>
      <w:numFmt w:val="decimal"/>
      <w:pStyle w:val="Estilo4"/>
      <w:lvlText w:val="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10595A1A"/>
    <w:multiLevelType w:val="multilevel"/>
    <w:tmpl w:val="7FA20238"/>
    <w:lvl w:ilvl="0">
      <w:start w:val="1"/>
      <w:numFmt w:val="decimal"/>
      <w:pStyle w:val="cuadro1cap7"/>
      <w:suff w:val="space"/>
      <w:lvlText w:val="Cuadro 7.%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
    <w:nsid w:val="11812E9E"/>
    <w:multiLevelType w:val="multilevel"/>
    <w:tmpl w:val="23F4AFF4"/>
    <w:lvl w:ilvl="0">
      <w:start w:val="1"/>
      <w:numFmt w:val="decimal"/>
      <w:pStyle w:val="Tabla1cap7"/>
      <w:suff w:val="space"/>
      <w:lvlText w:val="Tabla 7.%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2">
    <w:nsid w:val="11F76251"/>
    <w:multiLevelType w:val="multilevel"/>
    <w:tmpl w:val="3C0261FE"/>
    <w:lvl w:ilvl="0">
      <w:start w:val="1"/>
      <w:numFmt w:val="decimal"/>
      <w:pStyle w:val="Grafica1"/>
      <w:suff w:val="space"/>
      <w:lvlText w:val="Gráfica %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3">
    <w:nsid w:val="127C4037"/>
    <w:multiLevelType w:val="multilevel"/>
    <w:tmpl w:val="A7EE0180"/>
    <w:lvl w:ilvl="0">
      <w:start w:val="1"/>
      <w:numFmt w:val="decimal"/>
      <w:pStyle w:val="Grafica1cap14"/>
      <w:suff w:val="space"/>
      <w:lvlText w:val="Grafic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4">
    <w:nsid w:val="143A2607"/>
    <w:multiLevelType w:val="hybridMultilevel"/>
    <w:tmpl w:val="3E1870E6"/>
    <w:lvl w:ilvl="0" w:tplc="6D9ED2A2">
      <w:start w:val="1"/>
      <w:numFmt w:val="decimal"/>
      <w:pStyle w:val="Ttulo1"/>
      <w:lvlText w:val="%1."/>
      <w:lvlJc w:val="left"/>
      <w:pPr>
        <w:ind w:left="1146" w:hanging="360"/>
      </w:p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15">
    <w:nsid w:val="15D1271B"/>
    <w:multiLevelType w:val="multilevel"/>
    <w:tmpl w:val="23443816"/>
    <w:lvl w:ilvl="0">
      <w:start w:val="1"/>
      <w:numFmt w:val="decimal"/>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6">
    <w:nsid w:val="16027E9C"/>
    <w:multiLevelType w:val="multilevel"/>
    <w:tmpl w:val="A2BEE2AA"/>
    <w:lvl w:ilvl="0">
      <w:start w:val="1"/>
      <w:numFmt w:val="decimal"/>
      <w:pStyle w:val="Grafica1cap13"/>
      <w:suff w:val="space"/>
      <w:lvlText w:val="Grafic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7">
    <w:nsid w:val="16F312DC"/>
    <w:multiLevelType w:val="multilevel"/>
    <w:tmpl w:val="A19C70C0"/>
    <w:lvl w:ilvl="0">
      <w:start w:val="1"/>
      <w:numFmt w:val="decimal"/>
      <w:pStyle w:val="Tabla1cap4"/>
      <w:suff w:val="space"/>
      <w:lvlText w:val="Tabla 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8">
    <w:nsid w:val="17ED0B9F"/>
    <w:multiLevelType w:val="multilevel"/>
    <w:tmpl w:val="4F223F4E"/>
    <w:lvl w:ilvl="0">
      <w:start w:val="1"/>
      <w:numFmt w:val="decimal"/>
      <w:pStyle w:val="Cuadro1cap9"/>
      <w:suff w:val="space"/>
      <w:lvlText w:val="Cuadro 9.%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9">
    <w:nsid w:val="1C191744"/>
    <w:multiLevelType w:val="multilevel"/>
    <w:tmpl w:val="A0E277D2"/>
    <w:lvl w:ilvl="0">
      <w:start w:val="1"/>
      <w:numFmt w:val="decimal"/>
      <w:pStyle w:val="Fotografia1cap2"/>
      <w:isLgl/>
      <w:suff w:val="space"/>
      <w:lvlText w:val="Fotografía 2.%1"/>
      <w:lvlJc w:val="left"/>
      <w:pPr>
        <w:ind w:left="0" w:firstLine="0"/>
      </w:pPr>
      <w:rPr>
        <w:rFonts w:hint="default"/>
      </w:rPr>
    </w:lvl>
    <w:lvl w:ilvl="1">
      <w:start w:val="1"/>
      <w:numFmt w:val="decimal"/>
      <w:lvlText w:val="%1.%2."/>
      <w:lvlJc w:val="left"/>
      <w:pPr>
        <w:tabs>
          <w:tab w:val="num" w:pos="720"/>
        </w:tabs>
        <w:ind w:left="432" w:hanging="432"/>
      </w:pPr>
      <w:rPr>
        <w:rFonts w:hint="default"/>
      </w:rPr>
    </w:lvl>
    <w:lvl w:ilvl="2">
      <w:start w:val="1"/>
      <w:numFmt w:val="decimal"/>
      <w:lvlText w:val="%1.%2.%3."/>
      <w:lvlJc w:val="left"/>
      <w:pPr>
        <w:tabs>
          <w:tab w:val="num" w:pos="1440"/>
        </w:tabs>
        <w:ind w:left="864" w:hanging="504"/>
      </w:pPr>
      <w:rPr>
        <w:rFonts w:hint="default"/>
      </w:rPr>
    </w:lvl>
    <w:lvl w:ilvl="3">
      <w:start w:val="1"/>
      <w:numFmt w:val="decimal"/>
      <w:lvlText w:val="%1.%2.%3.%4."/>
      <w:lvlJc w:val="left"/>
      <w:pPr>
        <w:tabs>
          <w:tab w:val="num" w:pos="2160"/>
        </w:tabs>
        <w:ind w:left="1368" w:hanging="648"/>
      </w:pPr>
      <w:rPr>
        <w:rFonts w:hint="default"/>
      </w:rPr>
    </w:lvl>
    <w:lvl w:ilvl="4">
      <w:start w:val="1"/>
      <w:numFmt w:val="decimal"/>
      <w:lvlText w:val="%1.%2.%3.%4.%5."/>
      <w:lvlJc w:val="left"/>
      <w:pPr>
        <w:tabs>
          <w:tab w:val="num" w:pos="2880"/>
        </w:tabs>
        <w:ind w:left="1872" w:hanging="792"/>
      </w:pPr>
      <w:rPr>
        <w:rFonts w:hint="default"/>
      </w:rPr>
    </w:lvl>
    <w:lvl w:ilvl="5">
      <w:start w:val="1"/>
      <w:numFmt w:val="decimal"/>
      <w:lvlText w:val="%1.%2.%3.%4.%5.%6."/>
      <w:lvlJc w:val="left"/>
      <w:pPr>
        <w:tabs>
          <w:tab w:val="num" w:pos="3600"/>
        </w:tabs>
        <w:ind w:left="2376" w:hanging="936"/>
      </w:pPr>
      <w:rPr>
        <w:rFonts w:hint="default"/>
      </w:rPr>
    </w:lvl>
    <w:lvl w:ilvl="6">
      <w:start w:val="1"/>
      <w:numFmt w:val="decimal"/>
      <w:lvlText w:val="%1.%2.%3.%4.%5.%6.%7."/>
      <w:lvlJc w:val="left"/>
      <w:pPr>
        <w:tabs>
          <w:tab w:val="num" w:pos="4320"/>
        </w:tabs>
        <w:ind w:left="2880" w:hanging="1080"/>
      </w:pPr>
      <w:rPr>
        <w:rFonts w:hint="default"/>
      </w:rPr>
    </w:lvl>
    <w:lvl w:ilvl="7">
      <w:start w:val="1"/>
      <w:numFmt w:val="decimal"/>
      <w:lvlText w:val="%1.%2.%3.%4.%5.%6.%7.%8."/>
      <w:lvlJc w:val="left"/>
      <w:pPr>
        <w:tabs>
          <w:tab w:val="num" w:pos="4680"/>
        </w:tabs>
        <w:ind w:left="3384" w:hanging="1224"/>
      </w:pPr>
      <w:rPr>
        <w:rFonts w:hint="default"/>
      </w:rPr>
    </w:lvl>
    <w:lvl w:ilvl="8">
      <w:start w:val="1"/>
      <w:numFmt w:val="decimal"/>
      <w:lvlText w:val="%1.%2.%3.%4.%5.%6.%7.%8.%9."/>
      <w:lvlJc w:val="left"/>
      <w:pPr>
        <w:tabs>
          <w:tab w:val="num" w:pos="5400"/>
        </w:tabs>
        <w:ind w:left="3960" w:hanging="1440"/>
      </w:pPr>
      <w:rPr>
        <w:rFonts w:hint="default"/>
      </w:rPr>
    </w:lvl>
  </w:abstractNum>
  <w:abstractNum w:abstractNumId="20">
    <w:nsid w:val="1F2C0ACC"/>
    <w:multiLevelType w:val="multilevel"/>
    <w:tmpl w:val="E2F46932"/>
    <w:lvl w:ilvl="0">
      <w:start w:val="1"/>
      <w:numFmt w:val="decimal"/>
      <w:pStyle w:val="Figura1cap11"/>
      <w:suff w:val="space"/>
      <w:lvlText w:val="Figura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1">
    <w:nsid w:val="211141C5"/>
    <w:multiLevelType w:val="multilevel"/>
    <w:tmpl w:val="51720A7A"/>
    <w:lvl w:ilvl="0">
      <w:start w:val="1"/>
      <w:numFmt w:val="decimal"/>
      <w:pStyle w:val="figura1cap9"/>
      <w:suff w:val="space"/>
      <w:lvlText w:val="Figura 9.%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2">
    <w:nsid w:val="222642FB"/>
    <w:multiLevelType w:val="multilevel"/>
    <w:tmpl w:val="C9BE1FF4"/>
    <w:lvl w:ilvl="0">
      <w:start w:val="1"/>
      <w:numFmt w:val="decimal"/>
      <w:pStyle w:val="Figura1cap14"/>
      <w:suff w:val="space"/>
      <w:lvlText w:val="Figur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3">
    <w:nsid w:val="23BD5558"/>
    <w:multiLevelType w:val="multilevel"/>
    <w:tmpl w:val="68AAB9E8"/>
    <w:lvl w:ilvl="0">
      <w:start w:val="1"/>
      <w:numFmt w:val="decimal"/>
      <w:pStyle w:val="Cuadro1cap4"/>
      <w:suff w:val="space"/>
      <w:lvlText w:val="Cuadro 4.%1 "/>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4">
    <w:nsid w:val="23E83742"/>
    <w:multiLevelType w:val="multilevel"/>
    <w:tmpl w:val="63D0A80E"/>
    <w:lvl w:ilvl="0">
      <w:start w:val="1"/>
      <w:numFmt w:val="decimal"/>
      <w:pStyle w:val="Grafica1cap10"/>
      <w:isLgl/>
      <w:suff w:val="space"/>
      <w:lvlText w:val="Gráfica 10.%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5">
    <w:nsid w:val="28685904"/>
    <w:multiLevelType w:val="multilevel"/>
    <w:tmpl w:val="760C0918"/>
    <w:lvl w:ilvl="0">
      <w:start w:val="1"/>
      <w:numFmt w:val="decimal"/>
      <w:pStyle w:val="Figura1cap15"/>
      <w:suff w:val="space"/>
      <w:lvlText w:val="Figur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6">
    <w:nsid w:val="2C126B8C"/>
    <w:multiLevelType w:val="multilevel"/>
    <w:tmpl w:val="898A0B74"/>
    <w:lvl w:ilvl="0">
      <w:start w:val="1"/>
      <w:numFmt w:val="decimal"/>
      <w:pStyle w:val="Grafica1cap8"/>
      <w:suff w:val="space"/>
      <w:lvlText w:val="Gráfica 8.%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7">
    <w:nsid w:val="2D3B607D"/>
    <w:multiLevelType w:val="multilevel"/>
    <w:tmpl w:val="A8F2C758"/>
    <w:lvl w:ilvl="0">
      <w:start w:val="1"/>
      <w:numFmt w:val="decimal"/>
      <w:pStyle w:val="tabla1cap1"/>
      <w:suff w:val="space"/>
      <w:lvlText w:val="Tabla 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8">
    <w:nsid w:val="2DA95A5C"/>
    <w:multiLevelType w:val="multilevel"/>
    <w:tmpl w:val="7646C570"/>
    <w:lvl w:ilvl="0">
      <w:start w:val="1"/>
      <w:numFmt w:val="decimal"/>
      <w:pStyle w:val="Grafica1cap9"/>
      <w:isLgl/>
      <w:suff w:val="space"/>
      <w:lvlText w:val="Gráfica 9.%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9">
    <w:nsid w:val="2FBD1064"/>
    <w:multiLevelType w:val="multilevel"/>
    <w:tmpl w:val="62BC4D9C"/>
    <w:lvl w:ilvl="0">
      <w:start w:val="1"/>
      <w:numFmt w:val="decimal"/>
      <w:pStyle w:val="Fotografia1cap5"/>
      <w:suff w:val="space"/>
      <w:lvlText w:val="Fotografía 5.%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0">
    <w:nsid w:val="30112D08"/>
    <w:multiLevelType w:val="multilevel"/>
    <w:tmpl w:val="97F63438"/>
    <w:lvl w:ilvl="0">
      <w:start w:val="1"/>
      <w:numFmt w:val="decimal"/>
      <w:pStyle w:val="Fotografia1cap4"/>
      <w:suff w:val="space"/>
      <w:lvlText w:val="Fotografia 4.%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1">
    <w:nsid w:val="323F5AED"/>
    <w:multiLevelType w:val="multilevel"/>
    <w:tmpl w:val="87D0B4D8"/>
    <w:lvl w:ilvl="0">
      <w:start w:val="1"/>
      <w:numFmt w:val="decimal"/>
      <w:pStyle w:val="Cuadro1cap12"/>
      <w:suff w:val="space"/>
      <w:lvlText w:val="Cuadro 12.%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2">
    <w:nsid w:val="32B17B34"/>
    <w:multiLevelType w:val="multilevel"/>
    <w:tmpl w:val="7264CC88"/>
    <w:lvl w:ilvl="0">
      <w:start w:val="1"/>
      <w:numFmt w:val="decimal"/>
      <w:pStyle w:val="Fotografia1cap3"/>
      <w:isLgl/>
      <w:suff w:val="space"/>
      <w:lvlText w:val="Fotografía 3.%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3">
    <w:nsid w:val="338D7587"/>
    <w:multiLevelType w:val="multilevel"/>
    <w:tmpl w:val="D8A4B4D8"/>
    <w:lvl w:ilvl="0">
      <w:start w:val="1"/>
      <w:numFmt w:val="decimal"/>
      <w:pStyle w:val="figura1cap10"/>
      <w:suff w:val="space"/>
      <w:lvlText w:val="Figura 10.%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4">
    <w:nsid w:val="37D76E43"/>
    <w:multiLevelType w:val="multilevel"/>
    <w:tmpl w:val="52A2A68A"/>
    <w:lvl w:ilvl="0">
      <w:start w:val="1"/>
      <w:numFmt w:val="decimal"/>
      <w:pStyle w:val="Grafica1cap11"/>
      <w:suff w:val="space"/>
      <w:lvlText w:val="Grafica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5">
    <w:nsid w:val="3966325F"/>
    <w:multiLevelType w:val="multilevel"/>
    <w:tmpl w:val="F2BCAABA"/>
    <w:lvl w:ilvl="0">
      <w:start w:val="1"/>
      <w:numFmt w:val="decimal"/>
      <w:pStyle w:val="tabla1cap11"/>
      <w:suff w:val="space"/>
      <w:lvlText w:val="Tabla 11.%1."/>
      <w:lvlJc w:val="left"/>
      <w:pPr>
        <w:ind w:left="360" w:hanging="360"/>
      </w:pPr>
      <w:rPr>
        <w:rFonts w:hint="default"/>
      </w:rPr>
    </w:lvl>
    <w:lvl w:ilvl="1">
      <w:start w:val="1"/>
      <w:numFmt w:val="decimal"/>
      <w:lvlText w:val="%1.%2."/>
      <w:lvlJc w:val="left"/>
      <w:pPr>
        <w:tabs>
          <w:tab w:val="num" w:pos="1440"/>
        </w:tabs>
        <w:ind w:left="792" w:hanging="432"/>
      </w:pPr>
      <w:rPr>
        <w:rFonts w:hint="default"/>
      </w:rPr>
    </w:lvl>
    <w:lvl w:ilvl="2">
      <w:start w:val="1"/>
      <w:numFmt w:val="decimal"/>
      <w:lvlText w:val="%1.%2.%3."/>
      <w:lvlJc w:val="left"/>
      <w:pPr>
        <w:tabs>
          <w:tab w:val="num" w:pos="2160"/>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320"/>
        </w:tabs>
        <w:ind w:left="2736" w:hanging="936"/>
      </w:pPr>
      <w:rPr>
        <w:rFonts w:hint="default"/>
      </w:rPr>
    </w:lvl>
    <w:lvl w:ilvl="6">
      <w:start w:val="1"/>
      <w:numFmt w:val="decimal"/>
      <w:lvlText w:val="%1.%2.%3.%4.%5.%6.%7."/>
      <w:lvlJc w:val="left"/>
      <w:pPr>
        <w:tabs>
          <w:tab w:val="num" w:pos="5040"/>
        </w:tabs>
        <w:ind w:left="3240" w:hanging="1080"/>
      </w:pPr>
      <w:rPr>
        <w:rFonts w:hint="default"/>
      </w:rPr>
    </w:lvl>
    <w:lvl w:ilvl="7">
      <w:start w:val="1"/>
      <w:numFmt w:val="decimal"/>
      <w:lvlText w:val="%1.%2.%3.%4.%5.%6.%7.%8."/>
      <w:lvlJc w:val="left"/>
      <w:pPr>
        <w:tabs>
          <w:tab w:val="num" w:pos="5760"/>
        </w:tabs>
        <w:ind w:left="3744" w:hanging="1224"/>
      </w:pPr>
      <w:rPr>
        <w:rFonts w:hint="default"/>
      </w:rPr>
    </w:lvl>
    <w:lvl w:ilvl="8">
      <w:start w:val="1"/>
      <w:numFmt w:val="decimal"/>
      <w:lvlText w:val="%1.%2.%3.%4.%5.%6.%7.%8.%9."/>
      <w:lvlJc w:val="left"/>
      <w:pPr>
        <w:tabs>
          <w:tab w:val="num" w:pos="6480"/>
        </w:tabs>
        <w:ind w:left="4320" w:hanging="1440"/>
      </w:pPr>
      <w:rPr>
        <w:rFonts w:hint="default"/>
      </w:rPr>
    </w:lvl>
  </w:abstractNum>
  <w:abstractNum w:abstractNumId="36">
    <w:nsid w:val="3A435F53"/>
    <w:multiLevelType w:val="multilevel"/>
    <w:tmpl w:val="627CA822"/>
    <w:lvl w:ilvl="0">
      <w:start w:val="1"/>
      <w:numFmt w:val="decimal"/>
      <w:pStyle w:val="Figura1"/>
      <w:suff w:val="space"/>
      <w:lvlText w:val="Figura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7">
    <w:nsid w:val="3B394058"/>
    <w:multiLevelType w:val="multilevel"/>
    <w:tmpl w:val="F87428B4"/>
    <w:lvl w:ilvl="0">
      <w:start w:val="1"/>
      <w:numFmt w:val="decimal"/>
      <w:pStyle w:val="Tabla1cap10"/>
      <w:suff w:val="space"/>
      <w:lvlText w:val="Tabla 10.%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8">
    <w:nsid w:val="3C95536E"/>
    <w:multiLevelType w:val="multilevel"/>
    <w:tmpl w:val="41105B82"/>
    <w:lvl w:ilvl="0">
      <w:start w:val="1"/>
      <w:numFmt w:val="decimal"/>
      <w:pStyle w:val="Fotografia1cap1"/>
      <w:isLgl/>
      <w:suff w:val="space"/>
      <w:lvlText w:val="Fotografía 1.%1"/>
      <w:lvlJc w:val="left"/>
      <w:pPr>
        <w:ind w:left="0" w:firstLine="0"/>
      </w:pPr>
      <w:rPr>
        <w:rFonts w:hint="default"/>
      </w:rPr>
    </w:lvl>
    <w:lvl w:ilvl="1">
      <w:start w:val="1"/>
      <w:numFmt w:val="decimal"/>
      <w:isLgl/>
      <w:suff w:val="space"/>
      <w:lvlText w:val="Fotografía %1.%2."/>
      <w:lvlJc w:val="left"/>
      <w:pPr>
        <w:ind w:left="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9">
    <w:nsid w:val="3CAA1029"/>
    <w:multiLevelType w:val="multilevel"/>
    <w:tmpl w:val="5F220516"/>
    <w:lvl w:ilvl="0">
      <w:start w:val="1"/>
      <w:numFmt w:val="decimal"/>
      <w:pStyle w:val="Cuadro1cap15"/>
      <w:suff w:val="space"/>
      <w:lvlText w:val="Cuadro 15.%1."/>
      <w:lvlJc w:val="left"/>
      <w:pPr>
        <w:ind w:left="357" w:hanging="357"/>
      </w:pPr>
      <w:rPr>
        <w:rFonts w:hint="default"/>
      </w:rPr>
    </w:lvl>
    <w:lvl w:ilvl="1">
      <w:start w:val="1"/>
      <w:numFmt w:val="decimal"/>
      <w:lvlText w:val="%1.%2."/>
      <w:lvlJc w:val="left"/>
      <w:pPr>
        <w:tabs>
          <w:tab w:val="num" w:pos="1364"/>
        </w:tabs>
        <w:ind w:left="1076" w:hanging="432"/>
      </w:pPr>
      <w:rPr>
        <w:rFonts w:hint="default"/>
      </w:rPr>
    </w:lvl>
    <w:lvl w:ilvl="2">
      <w:start w:val="1"/>
      <w:numFmt w:val="decimal"/>
      <w:lvlText w:val="%1.%2.%3."/>
      <w:lvlJc w:val="left"/>
      <w:pPr>
        <w:tabs>
          <w:tab w:val="num" w:pos="2084"/>
        </w:tabs>
        <w:ind w:left="1508" w:hanging="504"/>
      </w:pPr>
      <w:rPr>
        <w:rFonts w:hint="default"/>
      </w:rPr>
    </w:lvl>
    <w:lvl w:ilvl="3">
      <w:start w:val="1"/>
      <w:numFmt w:val="decimal"/>
      <w:lvlText w:val="%1.%2.%3.%4."/>
      <w:lvlJc w:val="left"/>
      <w:pPr>
        <w:tabs>
          <w:tab w:val="num" w:pos="2804"/>
        </w:tabs>
        <w:ind w:left="2012" w:hanging="648"/>
      </w:pPr>
      <w:rPr>
        <w:rFonts w:hint="default"/>
      </w:rPr>
    </w:lvl>
    <w:lvl w:ilvl="4">
      <w:start w:val="1"/>
      <w:numFmt w:val="decimal"/>
      <w:lvlText w:val="%1.%2.%3.%4.%5."/>
      <w:lvlJc w:val="left"/>
      <w:pPr>
        <w:tabs>
          <w:tab w:val="num" w:pos="3164"/>
        </w:tabs>
        <w:ind w:left="2516" w:hanging="792"/>
      </w:pPr>
      <w:rPr>
        <w:rFonts w:hint="default"/>
      </w:rPr>
    </w:lvl>
    <w:lvl w:ilvl="5">
      <w:start w:val="1"/>
      <w:numFmt w:val="decimal"/>
      <w:lvlText w:val="%1.%2.%3.%4.%5.%6."/>
      <w:lvlJc w:val="left"/>
      <w:pPr>
        <w:tabs>
          <w:tab w:val="num" w:pos="3884"/>
        </w:tabs>
        <w:ind w:left="3020" w:hanging="936"/>
      </w:pPr>
      <w:rPr>
        <w:rFonts w:hint="default"/>
      </w:rPr>
    </w:lvl>
    <w:lvl w:ilvl="6">
      <w:start w:val="1"/>
      <w:numFmt w:val="decimal"/>
      <w:lvlText w:val="%1.%2.%3.%4.%5.%6.%7."/>
      <w:lvlJc w:val="left"/>
      <w:pPr>
        <w:tabs>
          <w:tab w:val="num" w:pos="4604"/>
        </w:tabs>
        <w:ind w:left="3524" w:hanging="1080"/>
      </w:pPr>
      <w:rPr>
        <w:rFonts w:hint="default"/>
      </w:rPr>
    </w:lvl>
    <w:lvl w:ilvl="7">
      <w:start w:val="1"/>
      <w:numFmt w:val="decimal"/>
      <w:lvlText w:val="%1.%2.%3.%4.%5.%6.%7.%8."/>
      <w:lvlJc w:val="left"/>
      <w:pPr>
        <w:tabs>
          <w:tab w:val="num" w:pos="5324"/>
        </w:tabs>
        <w:ind w:left="4028" w:hanging="1224"/>
      </w:pPr>
      <w:rPr>
        <w:rFonts w:hint="default"/>
      </w:rPr>
    </w:lvl>
    <w:lvl w:ilvl="8">
      <w:start w:val="1"/>
      <w:numFmt w:val="decimal"/>
      <w:lvlText w:val="%1.%2.%3.%4.%5.%6.%7.%8.%9."/>
      <w:lvlJc w:val="left"/>
      <w:pPr>
        <w:tabs>
          <w:tab w:val="num" w:pos="6044"/>
        </w:tabs>
        <w:ind w:left="4604" w:hanging="1440"/>
      </w:pPr>
      <w:rPr>
        <w:rFonts w:hint="default"/>
      </w:rPr>
    </w:lvl>
  </w:abstractNum>
  <w:abstractNum w:abstractNumId="40">
    <w:nsid w:val="3D301F9D"/>
    <w:multiLevelType w:val="multilevel"/>
    <w:tmpl w:val="0B6EE97E"/>
    <w:lvl w:ilvl="0">
      <w:start w:val="1"/>
      <w:numFmt w:val="decimal"/>
      <w:pStyle w:val="Grafica1cap1"/>
      <w:isLgl/>
      <w:suff w:val="space"/>
      <w:lvlText w:val="Gráfica 1.%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1">
    <w:nsid w:val="40AB1207"/>
    <w:multiLevelType w:val="multilevel"/>
    <w:tmpl w:val="4A865E78"/>
    <w:lvl w:ilvl="0">
      <w:start w:val="1"/>
      <w:numFmt w:val="decimal"/>
      <w:pStyle w:val="Tabla1cap13"/>
      <w:suff w:val="space"/>
      <w:lvlText w:val="Tabl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2">
    <w:nsid w:val="417564B4"/>
    <w:multiLevelType w:val="multilevel"/>
    <w:tmpl w:val="D778B5D4"/>
    <w:lvl w:ilvl="0">
      <w:start w:val="1"/>
      <w:numFmt w:val="decimal"/>
      <w:pStyle w:val="cuadro1cap2"/>
      <w:suff w:val="space"/>
      <w:lvlText w:val="Cuadro 2.%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3">
    <w:nsid w:val="41FA5B07"/>
    <w:multiLevelType w:val="multilevel"/>
    <w:tmpl w:val="6CAC5ECE"/>
    <w:lvl w:ilvl="0">
      <w:start w:val="1"/>
      <w:numFmt w:val="decimal"/>
      <w:pStyle w:val="Figura1cap13"/>
      <w:suff w:val="space"/>
      <w:lvlText w:val="Figur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4">
    <w:nsid w:val="4400663D"/>
    <w:multiLevelType w:val="hybridMultilevel"/>
    <w:tmpl w:val="10A85E80"/>
    <w:lvl w:ilvl="0" w:tplc="E54EA2F2">
      <w:start w:val="1"/>
      <w:numFmt w:val="bullet"/>
      <w:lvlText w:val=""/>
      <w:lvlJc w:val="left"/>
      <w:pPr>
        <w:ind w:left="720" w:hanging="360"/>
      </w:pPr>
      <w:rPr>
        <w:rFonts w:ascii="Symbol" w:hAnsi="Symbol" w:hint="default"/>
      </w:rPr>
    </w:lvl>
    <w:lvl w:ilvl="1" w:tplc="CB2013FC" w:tentative="1">
      <w:start w:val="1"/>
      <w:numFmt w:val="bullet"/>
      <w:lvlText w:val="o"/>
      <w:lvlJc w:val="left"/>
      <w:pPr>
        <w:ind w:left="1440" w:hanging="360"/>
      </w:pPr>
      <w:rPr>
        <w:rFonts w:ascii="Courier New" w:hAnsi="Courier New" w:cs="Courier New" w:hint="default"/>
      </w:rPr>
    </w:lvl>
    <w:lvl w:ilvl="2" w:tplc="2AB48F66" w:tentative="1">
      <w:start w:val="1"/>
      <w:numFmt w:val="bullet"/>
      <w:lvlText w:val=""/>
      <w:lvlJc w:val="left"/>
      <w:pPr>
        <w:ind w:left="2160" w:hanging="360"/>
      </w:pPr>
      <w:rPr>
        <w:rFonts w:ascii="Wingdings" w:hAnsi="Wingdings" w:hint="default"/>
      </w:rPr>
    </w:lvl>
    <w:lvl w:ilvl="3" w:tplc="AA30926E" w:tentative="1">
      <w:start w:val="1"/>
      <w:numFmt w:val="bullet"/>
      <w:lvlText w:val=""/>
      <w:lvlJc w:val="left"/>
      <w:pPr>
        <w:ind w:left="2880" w:hanging="360"/>
      </w:pPr>
      <w:rPr>
        <w:rFonts w:ascii="Symbol" w:hAnsi="Symbol" w:hint="default"/>
      </w:rPr>
    </w:lvl>
    <w:lvl w:ilvl="4" w:tplc="EF10C566" w:tentative="1">
      <w:start w:val="1"/>
      <w:numFmt w:val="bullet"/>
      <w:lvlText w:val="o"/>
      <w:lvlJc w:val="left"/>
      <w:pPr>
        <w:ind w:left="3600" w:hanging="360"/>
      </w:pPr>
      <w:rPr>
        <w:rFonts w:ascii="Courier New" w:hAnsi="Courier New" w:cs="Courier New" w:hint="default"/>
      </w:rPr>
    </w:lvl>
    <w:lvl w:ilvl="5" w:tplc="793ECA7E" w:tentative="1">
      <w:start w:val="1"/>
      <w:numFmt w:val="bullet"/>
      <w:lvlText w:val=""/>
      <w:lvlJc w:val="left"/>
      <w:pPr>
        <w:ind w:left="4320" w:hanging="360"/>
      </w:pPr>
      <w:rPr>
        <w:rFonts w:ascii="Wingdings" w:hAnsi="Wingdings" w:hint="default"/>
      </w:rPr>
    </w:lvl>
    <w:lvl w:ilvl="6" w:tplc="BA5E1B9E" w:tentative="1">
      <w:start w:val="1"/>
      <w:numFmt w:val="bullet"/>
      <w:lvlText w:val=""/>
      <w:lvlJc w:val="left"/>
      <w:pPr>
        <w:ind w:left="5040" w:hanging="360"/>
      </w:pPr>
      <w:rPr>
        <w:rFonts w:ascii="Symbol" w:hAnsi="Symbol" w:hint="default"/>
      </w:rPr>
    </w:lvl>
    <w:lvl w:ilvl="7" w:tplc="D07EFDC8" w:tentative="1">
      <w:start w:val="1"/>
      <w:numFmt w:val="bullet"/>
      <w:lvlText w:val="o"/>
      <w:lvlJc w:val="left"/>
      <w:pPr>
        <w:ind w:left="5760" w:hanging="360"/>
      </w:pPr>
      <w:rPr>
        <w:rFonts w:ascii="Courier New" w:hAnsi="Courier New" w:cs="Courier New" w:hint="default"/>
      </w:rPr>
    </w:lvl>
    <w:lvl w:ilvl="8" w:tplc="914A69F0" w:tentative="1">
      <w:start w:val="1"/>
      <w:numFmt w:val="bullet"/>
      <w:lvlText w:val=""/>
      <w:lvlJc w:val="left"/>
      <w:pPr>
        <w:ind w:left="6480" w:hanging="360"/>
      </w:pPr>
      <w:rPr>
        <w:rFonts w:ascii="Wingdings" w:hAnsi="Wingdings" w:hint="default"/>
      </w:rPr>
    </w:lvl>
  </w:abstractNum>
  <w:abstractNum w:abstractNumId="45">
    <w:nsid w:val="469B5A8A"/>
    <w:multiLevelType w:val="multilevel"/>
    <w:tmpl w:val="A59AB168"/>
    <w:lvl w:ilvl="0">
      <w:start w:val="1"/>
      <w:numFmt w:val="decimal"/>
      <w:pStyle w:val="tabla1cap8"/>
      <w:suff w:val="space"/>
      <w:lvlText w:val="Tabla 8.%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6">
    <w:nsid w:val="481211EB"/>
    <w:multiLevelType w:val="multilevel"/>
    <w:tmpl w:val="53984C36"/>
    <w:lvl w:ilvl="0">
      <w:start w:val="1"/>
      <w:numFmt w:val="decimal"/>
      <w:pStyle w:val="Grafica1cap2"/>
      <w:isLgl/>
      <w:suff w:val="space"/>
      <w:lvlText w:val="Grafica 2.%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7">
    <w:nsid w:val="485778DE"/>
    <w:multiLevelType w:val="multilevel"/>
    <w:tmpl w:val="5114F1F2"/>
    <w:lvl w:ilvl="0">
      <w:start w:val="1"/>
      <w:numFmt w:val="decimal"/>
      <w:pStyle w:val="Figura1cap12"/>
      <w:suff w:val="space"/>
      <w:lvlText w:val="Figura 12.%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8">
    <w:nsid w:val="499E72AF"/>
    <w:multiLevelType w:val="multilevel"/>
    <w:tmpl w:val="CC5EE94C"/>
    <w:lvl w:ilvl="0">
      <w:start w:val="1"/>
      <w:numFmt w:val="decimal"/>
      <w:pStyle w:val="Fotografia1cap14"/>
      <w:suff w:val="space"/>
      <w:lvlText w:val="Fotografí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9">
    <w:nsid w:val="4B9E3FD4"/>
    <w:multiLevelType w:val="multilevel"/>
    <w:tmpl w:val="E1A03FEA"/>
    <w:lvl w:ilvl="0">
      <w:start w:val="1"/>
      <w:numFmt w:val="decimal"/>
      <w:pStyle w:val="Cuadro1cap10"/>
      <w:suff w:val="space"/>
      <w:lvlText w:val="Cuadro 10.%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0">
    <w:nsid w:val="4C7153B3"/>
    <w:multiLevelType w:val="multilevel"/>
    <w:tmpl w:val="EA148F12"/>
    <w:lvl w:ilvl="0">
      <w:start w:val="1"/>
      <w:numFmt w:val="decimal"/>
      <w:pStyle w:val="Tabla1cap2"/>
      <w:suff w:val="space"/>
      <w:lvlText w:val="Tabla 2.%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1">
    <w:nsid w:val="4F106E54"/>
    <w:multiLevelType w:val="multilevel"/>
    <w:tmpl w:val="349A5C5C"/>
    <w:lvl w:ilvl="0">
      <w:start w:val="1"/>
      <w:numFmt w:val="decimal"/>
      <w:pStyle w:val="Fotografia1cap11"/>
      <w:suff w:val="space"/>
      <w:lvlText w:val="Fotografía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2">
    <w:nsid w:val="52277469"/>
    <w:multiLevelType w:val="hybridMultilevel"/>
    <w:tmpl w:val="790C3794"/>
    <w:lvl w:ilvl="0" w:tplc="080A000F">
      <w:start w:val="1"/>
      <w:numFmt w:val="decimal"/>
      <w:lvlText w:val="%1."/>
      <w:lvlJc w:val="left"/>
      <w:pPr>
        <w:ind w:left="1004"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53">
    <w:nsid w:val="52A72024"/>
    <w:multiLevelType w:val="multilevel"/>
    <w:tmpl w:val="889AFDD2"/>
    <w:lvl w:ilvl="0">
      <w:start w:val="1"/>
      <w:numFmt w:val="decimal"/>
      <w:pStyle w:val="Grafica1cap15"/>
      <w:suff w:val="space"/>
      <w:lvlText w:val="Gráfic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4">
    <w:nsid w:val="52F26053"/>
    <w:multiLevelType w:val="multilevel"/>
    <w:tmpl w:val="67B6124C"/>
    <w:lvl w:ilvl="0">
      <w:start w:val="1"/>
      <w:numFmt w:val="decimal"/>
      <w:pStyle w:val="figura1cap4"/>
      <w:suff w:val="space"/>
      <w:lvlText w:val="Figura 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5">
    <w:nsid w:val="544B79ED"/>
    <w:multiLevelType w:val="multilevel"/>
    <w:tmpl w:val="0328715A"/>
    <w:lvl w:ilvl="0">
      <w:start w:val="1"/>
      <w:numFmt w:val="decimal"/>
      <w:pStyle w:val="cuadro1cap6"/>
      <w:suff w:val="space"/>
      <w:lvlText w:val="Cuadro 6.%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6">
    <w:nsid w:val="548A02FC"/>
    <w:multiLevelType w:val="hybridMultilevel"/>
    <w:tmpl w:val="455C4C66"/>
    <w:lvl w:ilvl="0" w:tplc="55C61A92">
      <w:start w:val="1"/>
      <w:numFmt w:val="decimal"/>
      <w:pStyle w:val="Estilo2"/>
      <w:lvlText w:val="2.%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7">
    <w:nsid w:val="578E2AF9"/>
    <w:multiLevelType w:val="hybridMultilevel"/>
    <w:tmpl w:val="848EB6DC"/>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58">
    <w:nsid w:val="57D67843"/>
    <w:multiLevelType w:val="multilevel"/>
    <w:tmpl w:val="9B6ACC3C"/>
    <w:lvl w:ilvl="0">
      <w:start w:val="1"/>
      <w:numFmt w:val="decimal"/>
      <w:pStyle w:val="Cuadro1cap11"/>
      <w:suff w:val="space"/>
      <w:lvlText w:val="Cuadro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9">
    <w:nsid w:val="59014EAE"/>
    <w:multiLevelType w:val="multilevel"/>
    <w:tmpl w:val="630406FE"/>
    <w:lvl w:ilvl="0">
      <w:start w:val="1"/>
      <w:numFmt w:val="decimal"/>
      <w:pStyle w:val="Tabla15cap1"/>
      <w:suff w:val="space"/>
      <w:lvlText w:val="Tabl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0">
    <w:nsid w:val="59D57E01"/>
    <w:multiLevelType w:val="multilevel"/>
    <w:tmpl w:val="D06C37FA"/>
    <w:lvl w:ilvl="0">
      <w:start w:val="1"/>
      <w:numFmt w:val="decimal"/>
      <w:pStyle w:val="Fotografa1cap7"/>
      <w:suff w:val="space"/>
      <w:lvlText w:val="Fotografía 7.%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1">
    <w:nsid w:val="5CED3A6C"/>
    <w:multiLevelType w:val="multilevel"/>
    <w:tmpl w:val="BBFC3668"/>
    <w:lvl w:ilvl="0">
      <w:start w:val="1"/>
      <w:numFmt w:val="decimal"/>
      <w:pStyle w:val="Tabla1cap12"/>
      <w:suff w:val="space"/>
      <w:lvlText w:val="Tabla 12.%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2">
    <w:nsid w:val="5D100459"/>
    <w:multiLevelType w:val="multilevel"/>
    <w:tmpl w:val="0B9CC34E"/>
    <w:lvl w:ilvl="0">
      <w:start w:val="1"/>
      <w:numFmt w:val="decimal"/>
      <w:pStyle w:val="cuadro1cap8"/>
      <w:suff w:val="space"/>
      <w:lvlText w:val="Cuadro 8.%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3">
    <w:nsid w:val="5DC64646"/>
    <w:multiLevelType w:val="multilevel"/>
    <w:tmpl w:val="395E5C94"/>
    <w:lvl w:ilvl="0">
      <w:start w:val="1"/>
      <w:numFmt w:val="decimal"/>
      <w:pStyle w:val="figura1cap6"/>
      <w:suff w:val="space"/>
      <w:lvlText w:val="Figura 6.%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4">
    <w:nsid w:val="5E301DA5"/>
    <w:multiLevelType w:val="multilevel"/>
    <w:tmpl w:val="8E0261D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5">
    <w:nsid w:val="5F08135E"/>
    <w:multiLevelType w:val="multilevel"/>
    <w:tmpl w:val="11DC6BE6"/>
    <w:lvl w:ilvl="0">
      <w:start w:val="1"/>
      <w:numFmt w:val="decimal"/>
      <w:pStyle w:val="Grafica1cap7"/>
      <w:isLgl/>
      <w:suff w:val="space"/>
      <w:lvlText w:val="Grafica 7.%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6">
    <w:nsid w:val="602C3FDF"/>
    <w:multiLevelType w:val="multilevel"/>
    <w:tmpl w:val="836AED0A"/>
    <w:lvl w:ilvl="0">
      <w:start w:val="1"/>
      <w:numFmt w:val="decimal"/>
      <w:pStyle w:val="Grafica1cap3"/>
      <w:suff w:val="space"/>
      <w:lvlText w:val="Gráfica 3.%1."/>
      <w:lvlJc w:val="left"/>
      <w:pPr>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7">
    <w:nsid w:val="6052726B"/>
    <w:multiLevelType w:val="multilevel"/>
    <w:tmpl w:val="725A58BA"/>
    <w:lvl w:ilvl="0">
      <w:start w:val="1"/>
      <w:numFmt w:val="decimal"/>
      <w:pStyle w:val="Cuadro1cap3"/>
      <w:suff w:val="space"/>
      <w:lvlText w:val="Cuadro 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8">
    <w:nsid w:val="61460E84"/>
    <w:multiLevelType w:val="multilevel"/>
    <w:tmpl w:val="E2BAAA3C"/>
    <w:lvl w:ilvl="0">
      <w:start w:val="1"/>
      <w:numFmt w:val="decimal"/>
      <w:pStyle w:val="Cuadro1cap13"/>
      <w:suff w:val="space"/>
      <w:lvlText w:val="Cuadro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9">
    <w:nsid w:val="63C839B8"/>
    <w:multiLevelType w:val="multilevel"/>
    <w:tmpl w:val="7C483A68"/>
    <w:lvl w:ilvl="0">
      <w:start w:val="1"/>
      <w:numFmt w:val="decimal"/>
      <w:pStyle w:val="Fotografia1cap12"/>
      <w:suff w:val="space"/>
      <w:lvlText w:val="Fotografia 12.%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0">
    <w:nsid w:val="65CF739B"/>
    <w:multiLevelType w:val="multilevel"/>
    <w:tmpl w:val="5CF8FD18"/>
    <w:lvl w:ilvl="0">
      <w:start w:val="1"/>
      <w:numFmt w:val="decimal"/>
      <w:pStyle w:val="figura1cap7"/>
      <w:suff w:val="space"/>
      <w:lvlText w:val="Figura 7.%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1">
    <w:nsid w:val="671967EF"/>
    <w:multiLevelType w:val="multilevel"/>
    <w:tmpl w:val="BB3CA45A"/>
    <w:lvl w:ilvl="0">
      <w:start w:val="1"/>
      <w:numFmt w:val="decimal"/>
      <w:pStyle w:val="Fotografia1cap15"/>
      <w:suff w:val="space"/>
      <w:lvlText w:val="Fotografí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2">
    <w:nsid w:val="687A6C95"/>
    <w:multiLevelType w:val="multilevel"/>
    <w:tmpl w:val="257201C8"/>
    <w:lvl w:ilvl="0">
      <w:start w:val="1"/>
      <w:numFmt w:val="decimal"/>
      <w:pStyle w:val="Fotografia1cap6"/>
      <w:isLgl/>
      <w:suff w:val="space"/>
      <w:lvlText w:val="Fotografía 6.%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3">
    <w:nsid w:val="6D6D33CA"/>
    <w:multiLevelType w:val="multilevel"/>
    <w:tmpl w:val="F4ACF65E"/>
    <w:lvl w:ilvl="0">
      <w:start w:val="1"/>
      <w:numFmt w:val="decimal"/>
      <w:pStyle w:val="Fotografia1cap9"/>
      <w:suff w:val="space"/>
      <w:lvlText w:val="Fotografía 9.%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4">
    <w:nsid w:val="70BE7F44"/>
    <w:multiLevelType w:val="multilevel"/>
    <w:tmpl w:val="9BAE0768"/>
    <w:lvl w:ilvl="0">
      <w:start w:val="1"/>
      <w:numFmt w:val="decimal"/>
      <w:pStyle w:val="Tabla1cap6"/>
      <w:suff w:val="space"/>
      <w:lvlText w:val="Tabla 6.%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5">
    <w:nsid w:val="723943B9"/>
    <w:multiLevelType w:val="multilevel"/>
    <w:tmpl w:val="3D58D160"/>
    <w:lvl w:ilvl="0">
      <w:start w:val="1"/>
      <w:numFmt w:val="decimal"/>
      <w:pStyle w:val="Cuadro1"/>
      <w:suff w:val="space"/>
      <w:lvlText w:val="Cuadro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6">
    <w:nsid w:val="72BB3025"/>
    <w:multiLevelType w:val="multilevel"/>
    <w:tmpl w:val="39AE562C"/>
    <w:lvl w:ilvl="0">
      <w:start w:val="1"/>
      <w:numFmt w:val="decimal"/>
      <w:pStyle w:val="figura1cap5"/>
      <w:suff w:val="space"/>
      <w:lvlText w:val="Figura 5.%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7">
    <w:nsid w:val="731C4646"/>
    <w:multiLevelType w:val="multilevel"/>
    <w:tmpl w:val="AF7CC018"/>
    <w:lvl w:ilvl="0">
      <w:start w:val="1"/>
      <w:numFmt w:val="decimal"/>
      <w:pStyle w:val="Fotografa1cap8"/>
      <w:suff w:val="space"/>
      <w:lvlText w:val="Fotografía 8.%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8">
    <w:nsid w:val="73F851D5"/>
    <w:multiLevelType w:val="multilevel"/>
    <w:tmpl w:val="50B6E66C"/>
    <w:lvl w:ilvl="0">
      <w:start w:val="1"/>
      <w:numFmt w:val="decimal"/>
      <w:pStyle w:val="Tabla1"/>
      <w:suff w:val="space"/>
      <w:lvlText w:val="Tabla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9">
    <w:nsid w:val="745114F8"/>
    <w:multiLevelType w:val="multilevel"/>
    <w:tmpl w:val="DBC4967C"/>
    <w:lvl w:ilvl="0">
      <w:start w:val="1"/>
      <w:numFmt w:val="decimal"/>
      <w:pStyle w:val="Fotografia1"/>
      <w:suff w:val="space"/>
      <w:lvlText w:val="Fotografia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0">
    <w:nsid w:val="760E4C29"/>
    <w:multiLevelType w:val="multilevel"/>
    <w:tmpl w:val="719E1842"/>
    <w:lvl w:ilvl="0">
      <w:start w:val="1"/>
      <w:numFmt w:val="decimal"/>
      <w:pStyle w:val="Grafica1cap6"/>
      <w:isLgl/>
      <w:suff w:val="space"/>
      <w:lvlText w:val="Gráfica 6.%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1">
    <w:nsid w:val="77C80C84"/>
    <w:multiLevelType w:val="multilevel"/>
    <w:tmpl w:val="BDE222F2"/>
    <w:lvl w:ilvl="0">
      <w:start w:val="1"/>
      <w:numFmt w:val="decimal"/>
      <w:pStyle w:val="figura1cap8"/>
      <w:suff w:val="space"/>
      <w:lvlText w:val="Figura 8.%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2">
    <w:nsid w:val="79D704B9"/>
    <w:multiLevelType w:val="multilevel"/>
    <w:tmpl w:val="B9FEDA94"/>
    <w:lvl w:ilvl="0">
      <w:start w:val="1"/>
      <w:numFmt w:val="decimal"/>
      <w:pStyle w:val="Fotografia1cap10"/>
      <w:isLgl/>
      <w:suff w:val="space"/>
      <w:lvlText w:val="Fotografía 10.%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3">
    <w:nsid w:val="7A38765E"/>
    <w:multiLevelType w:val="multilevel"/>
    <w:tmpl w:val="0AE0A43C"/>
    <w:lvl w:ilvl="0">
      <w:start w:val="1"/>
      <w:numFmt w:val="decimal"/>
      <w:pStyle w:val="Tabla1cap9"/>
      <w:suff w:val="space"/>
      <w:lvlText w:val="Tabla 9.%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4">
    <w:nsid w:val="7B8A3960"/>
    <w:multiLevelType w:val="hybridMultilevel"/>
    <w:tmpl w:val="A56816DC"/>
    <w:lvl w:ilvl="0" w:tplc="EAA668C0">
      <w:start w:val="1"/>
      <w:numFmt w:val="decimal"/>
      <w:pStyle w:val="Estilo3"/>
      <w:lvlText w:val="3.%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85">
    <w:nsid w:val="7C5F20BC"/>
    <w:multiLevelType w:val="multilevel"/>
    <w:tmpl w:val="7DCED806"/>
    <w:lvl w:ilvl="0">
      <w:start w:val="1"/>
      <w:numFmt w:val="decimal"/>
      <w:pStyle w:val="Tabla1cap3"/>
      <w:suff w:val="space"/>
      <w:lvlText w:val="Tabla 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6">
    <w:nsid w:val="7CDC5AAA"/>
    <w:multiLevelType w:val="multilevel"/>
    <w:tmpl w:val="845AED66"/>
    <w:lvl w:ilvl="0">
      <w:start w:val="1"/>
      <w:numFmt w:val="decimal"/>
      <w:pStyle w:val="figura1cap3"/>
      <w:suff w:val="space"/>
      <w:lvlText w:val="Figura 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7">
    <w:nsid w:val="7D29504D"/>
    <w:multiLevelType w:val="multilevel"/>
    <w:tmpl w:val="CA1C4120"/>
    <w:lvl w:ilvl="0">
      <w:start w:val="1"/>
      <w:numFmt w:val="decimal"/>
      <w:pStyle w:val="Fotografia1cap13"/>
      <w:suff w:val="space"/>
      <w:lvlText w:val="Fotografi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8">
    <w:nsid w:val="7DBE3D36"/>
    <w:multiLevelType w:val="multilevel"/>
    <w:tmpl w:val="3E34D52A"/>
    <w:lvl w:ilvl="0">
      <w:start w:val="1"/>
      <w:numFmt w:val="decimal"/>
      <w:pStyle w:val="Grafica1cap4"/>
      <w:isLgl/>
      <w:suff w:val="space"/>
      <w:lvlText w:val="Gráfica 4.%1"/>
      <w:lvlJc w:val="left"/>
      <w:pPr>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50"/>
  </w:num>
  <w:num w:numId="2">
    <w:abstractNumId w:val="7"/>
  </w:num>
  <w:num w:numId="3">
    <w:abstractNumId w:val="1"/>
  </w:num>
  <w:num w:numId="4">
    <w:abstractNumId w:val="3"/>
  </w:num>
  <w:num w:numId="5">
    <w:abstractNumId w:val="86"/>
  </w:num>
  <w:num w:numId="6">
    <w:abstractNumId w:val="54"/>
  </w:num>
  <w:num w:numId="7">
    <w:abstractNumId w:val="76"/>
  </w:num>
  <w:num w:numId="8">
    <w:abstractNumId w:val="63"/>
  </w:num>
  <w:num w:numId="9">
    <w:abstractNumId w:val="70"/>
  </w:num>
  <w:num w:numId="10">
    <w:abstractNumId w:val="81"/>
  </w:num>
  <w:num w:numId="11">
    <w:abstractNumId w:val="21"/>
  </w:num>
  <w:num w:numId="12">
    <w:abstractNumId w:val="33"/>
  </w:num>
  <w:num w:numId="13">
    <w:abstractNumId w:val="42"/>
  </w:num>
  <w:num w:numId="14">
    <w:abstractNumId w:val="67"/>
  </w:num>
  <w:num w:numId="15">
    <w:abstractNumId w:val="23"/>
  </w:num>
  <w:num w:numId="16">
    <w:abstractNumId w:val="2"/>
  </w:num>
  <w:num w:numId="17">
    <w:abstractNumId w:val="55"/>
  </w:num>
  <w:num w:numId="18">
    <w:abstractNumId w:val="10"/>
  </w:num>
  <w:num w:numId="19">
    <w:abstractNumId w:val="62"/>
  </w:num>
  <w:num w:numId="20">
    <w:abstractNumId w:val="18"/>
  </w:num>
  <w:num w:numId="21">
    <w:abstractNumId w:val="49"/>
  </w:num>
  <w:num w:numId="22">
    <w:abstractNumId w:val="27"/>
  </w:num>
  <w:num w:numId="23">
    <w:abstractNumId w:val="85"/>
  </w:num>
  <w:num w:numId="24">
    <w:abstractNumId w:val="17"/>
  </w:num>
  <w:num w:numId="25">
    <w:abstractNumId w:val="8"/>
  </w:num>
  <w:num w:numId="26">
    <w:abstractNumId w:val="74"/>
  </w:num>
  <w:num w:numId="27">
    <w:abstractNumId w:val="11"/>
  </w:num>
  <w:num w:numId="28">
    <w:abstractNumId w:val="45"/>
  </w:num>
  <w:num w:numId="29">
    <w:abstractNumId w:val="83"/>
  </w:num>
  <w:num w:numId="30">
    <w:abstractNumId w:val="37"/>
  </w:num>
  <w:num w:numId="31">
    <w:abstractNumId w:val="75"/>
  </w:num>
  <w:num w:numId="32">
    <w:abstractNumId w:val="78"/>
  </w:num>
  <w:num w:numId="33">
    <w:abstractNumId w:val="36"/>
  </w:num>
  <w:num w:numId="34">
    <w:abstractNumId w:val="79"/>
  </w:num>
  <w:num w:numId="35">
    <w:abstractNumId w:val="12"/>
  </w:num>
  <w:num w:numId="36">
    <w:abstractNumId w:val="38"/>
  </w:num>
  <w:num w:numId="37">
    <w:abstractNumId w:val="19"/>
  </w:num>
  <w:num w:numId="38">
    <w:abstractNumId w:val="32"/>
  </w:num>
  <w:num w:numId="39">
    <w:abstractNumId w:val="30"/>
  </w:num>
  <w:num w:numId="40">
    <w:abstractNumId w:val="29"/>
  </w:num>
  <w:num w:numId="41">
    <w:abstractNumId w:val="72"/>
  </w:num>
  <w:num w:numId="42">
    <w:abstractNumId w:val="60"/>
  </w:num>
  <w:num w:numId="43">
    <w:abstractNumId w:val="77"/>
  </w:num>
  <w:num w:numId="44">
    <w:abstractNumId w:val="73"/>
  </w:num>
  <w:num w:numId="45">
    <w:abstractNumId w:val="82"/>
  </w:num>
  <w:num w:numId="46">
    <w:abstractNumId w:val="40"/>
  </w:num>
  <w:num w:numId="47">
    <w:abstractNumId w:val="46"/>
  </w:num>
  <w:num w:numId="48">
    <w:abstractNumId w:val="66"/>
  </w:num>
  <w:num w:numId="49">
    <w:abstractNumId w:val="88"/>
  </w:num>
  <w:num w:numId="50">
    <w:abstractNumId w:val="5"/>
  </w:num>
  <w:num w:numId="51">
    <w:abstractNumId w:val="80"/>
  </w:num>
  <w:num w:numId="52">
    <w:abstractNumId w:val="65"/>
  </w:num>
  <w:num w:numId="53">
    <w:abstractNumId w:val="26"/>
  </w:num>
  <w:num w:numId="54">
    <w:abstractNumId w:val="28"/>
  </w:num>
  <w:num w:numId="55">
    <w:abstractNumId w:val="24"/>
  </w:num>
  <w:num w:numId="56">
    <w:abstractNumId w:val="64"/>
  </w:num>
  <w:num w:numId="57">
    <w:abstractNumId w:val="35"/>
  </w:num>
  <w:num w:numId="58">
    <w:abstractNumId w:val="61"/>
  </w:num>
  <w:num w:numId="59">
    <w:abstractNumId w:val="41"/>
  </w:num>
  <w:num w:numId="60">
    <w:abstractNumId w:val="0"/>
  </w:num>
  <w:num w:numId="61">
    <w:abstractNumId w:val="59"/>
  </w:num>
  <w:num w:numId="62">
    <w:abstractNumId w:val="20"/>
  </w:num>
  <w:num w:numId="63">
    <w:abstractNumId w:val="47"/>
  </w:num>
  <w:num w:numId="64">
    <w:abstractNumId w:val="43"/>
  </w:num>
  <w:num w:numId="65">
    <w:abstractNumId w:val="22"/>
  </w:num>
  <w:num w:numId="66">
    <w:abstractNumId w:val="25"/>
  </w:num>
  <w:num w:numId="67">
    <w:abstractNumId w:val="34"/>
  </w:num>
  <w:num w:numId="68">
    <w:abstractNumId w:val="4"/>
  </w:num>
  <w:num w:numId="69">
    <w:abstractNumId w:val="16"/>
  </w:num>
  <w:num w:numId="70">
    <w:abstractNumId w:val="13"/>
  </w:num>
  <w:num w:numId="71">
    <w:abstractNumId w:val="53"/>
  </w:num>
  <w:num w:numId="72">
    <w:abstractNumId w:val="51"/>
  </w:num>
  <w:num w:numId="73">
    <w:abstractNumId w:val="69"/>
  </w:num>
  <w:num w:numId="74">
    <w:abstractNumId w:val="87"/>
  </w:num>
  <w:num w:numId="75">
    <w:abstractNumId w:val="48"/>
  </w:num>
  <w:num w:numId="76">
    <w:abstractNumId w:val="71"/>
  </w:num>
  <w:num w:numId="77">
    <w:abstractNumId w:val="58"/>
  </w:num>
  <w:num w:numId="78">
    <w:abstractNumId w:val="31"/>
  </w:num>
  <w:num w:numId="79">
    <w:abstractNumId w:val="68"/>
  </w:num>
  <w:num w:numId="80">
    <w:abstractNumId w:val="6"/>
  </w:num>
  <w:num w:numId="81">
    <w:abstractNumId w:val="39"/>
  </w:num>
  <w:num w:numId="82">
    <w:abstractNumId w:val="44"/>
  </w:num>
  <w:num w:numId="83">
    <w:abstractNumId w:val="14"/>
  </w:num>
  <w:num w:numId="84">
    <w:abstractNumId w:val="56"/>
  </w:num>
  <w:num w:numId="85">
    <w:abstractNumId w:val="84"/>
  </w:num>
  <w:num w:numId="86">
    <w:abstractNumId w:val="9"/>
  </w:num>
  <w:num w:numId="87">
    <w:abstractNumId w:val="15"/>
  </w:num>
  <w:num w:numId="88">
    <w:abstractNumId w:val="52"/>
  </w:num>
  <w:num w:numId="89">
    <w:abstractNumId w:val="57"/>
  </w:num>
  <w:numIdMacAtCleanup w:val="8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SystemFonts/>
  <w:activeWritingStyle w:appName="MSWord" w:lang="es-MX" w:vendorID="9" w:dllVersion="512" w:checkStyle="1"/>
  <w:activeWritingStyle w:appName="MSWord" w:lang="pt-BR" w:vendorID="1" w:dllVersion="513" w:checkStyle="1"/>
  <w:proofState w:spelling="clean" w:grammar="clean"/>
  <w:stylePaneFormatFilter w:val="3001"/>
  <w:defaultTabStop w:val="708"/>
  <w:hyphenationZone w:val="425"/>
  <w:noPunctuationKerning/>
  <w:characterSpacingControl w:val="doNotCompress"/>
  <w:hdrShapeDefaults>
    <o:shapedefaults v:ext="edit" spidmax="18434">
      <o:colormru v:ext="edit" colors="#10499a,#963,#330,#030,#066,#6cf,#f9f,black"/>
      <o:colormenu v:ext="edit" fillcolor="#030" strokecolor="#10499a" shadowcolor="none"/>
    </o:shapedefaults>
  </w:hdrShapeDefaults>
  <w:footnotePr>
    <w:footnote w:id="-1"/>
    <w:footnote w:id="0"/>
  </w:footnotePr>
  <w:endnotePr>
    <w:endnote w:id="-1"/>
    <w:endnote w:id="0"/>
  </w:endnotePr>
  <w:compat>
    <w:useFELayout/>
  </w:compat>
  <w:rsids>
    <w:rsidRoot w:val="00AE7C22"/>
    <w:rsid w:val="00000799"/>
    <w:rsid w:val="000008FD"/>
    <w:rsid w:val="00001B54"/>
    <w:rsid w:val="00001D23"/>
    <w:rsid w:val="00006970"/>
    <w:rsid w:val="00011391"/>
    <w:rsid w:val="000124DE"/>
    <w:rsid w:val="000125CA"/>
    <w:rsid w:val="00014C20"/>
    <w:rsid w:val="000159ED"/>
    <w:rsid w:val="00016622"/>
    <w:rsid w:val="00016ED1"/>
    <w:rsid w:val="0002207A"/>
    <w:rsid w:val="00022692"/>
    <w:rsid w:val="00023A36"/>
    <w:rsid w:val="000268A4"/>
    <w:rsid w:val="000273E6"/>
    <w:rsid w:val="00027A9F"/>
    <w:rsid w:val="00030FF6"/>
    <w:rsid w:val="00033E37"/>
    <w:rsid w:val="0003517B"/>
    <w:rsid w:val="00035A70"/>
    <w:rsid w:val="00035FCC"/>
    <w:rsid w:val="000404CA"/>
    <w:rsid w:val="00040B8E"/>
    <w:rsid w:val="00042926"/>
    <w:rsid w:val="000569FC"/>
    <w:rsid w:val="000574FF"/>
    <w:rsid w:val="00060617"/>
    <w:rsid w:val="00062C23"/>
    <w:rsid w:val="00063F35"/>
    <w:rsid w:val="00064145"/>
    <w:rsid w:val="00064208"/>
    <w:rsid w:val="00064802"/>
    <w:rsid w:val="00066B1D"/>
    <w:rsid w:val="000707DE"/>
    <w:rsid w:val="00071CDA"/>
    <w:rsid w:val="00072412"/>
    <w:rsid w:val="00076B8A"/>
    <w:rsid w:val="00082D86"/>
    <w:rsid w:val="0008412D"/>
    <w:rsid w:val="0008677E"/>
    <w:rsid w:val="00092179"/>
    <w:rsid w:val="000929C6"/>
    <w:rsid w:val="00093327"/>
    <w:rsid w:val="00093838"/>
    <w:rsid w:val="0009453F"/>
    <w:rsid w:val="00095E0E"/>
    <w:rsid w:val="00097207"/>
    <w:rsid w:val="00097868"/>
    <w:rsid w:val="000A1601"/>
    <w:rsid w:val="000A20C4"/>
    <w:rsid w:val="000A38AB"/>
    <w:rsid w:val="000A405D"/>
    <w:rsid w:val="000A4386"/>
    <w:rsid w:val="000A60AC"/>
    <w:rsid w:val="000A6DFA"/>
    <w:rsid w:val="000B1636"/>
    <w:rsid w:val="000B2E93"/>
    <w:rsid w:val="000B3984"/>
    <w:rsid w:val="000B5780"/>
    <w:rsid w:val="000C0E91"/>
    <w:rsid w:val="000C2FEE"/>
    <w:rsid w:val="000C530B"/>
    <w:rsid w:val="000D569A"/>
    <w:rsid w:val="000D66DD"/>
    <w:rsid w:val="000D6DBF"/>
    <w:rsid w:val="000E2CB6"/>
    <w:rsid w:val="000E584D"/>
    <w:rsid w:val="000E71C1"/>
    <w:rsid w:val="000E77A0"/>
    <w:rsid w:val="000F4A18"/>
    <w:rsid w:val="000F4FA1"/>
    <w:rsid w:val="000F69A1"/>
    <w:rsid w:val="000F6D46"/>
    <w:rsid w:val="000F7E54"/>
    <w:rsid w:val="001038ED"/>
    <w:rsid w:val="001044E9"/>
    <w:rsid w:val="0010474B"/>
    <w:rsid w:val="0010602B"/>
    <w:rsid w:val="00106E81"/>
    <w:rsid w:val="00114869"/>
    <w:rsid w:val="001206CD"/>
    <w:rsid w:val="00124076"/>
    <w:rsid w:val="00124B01"/>
    <w:rsid w:val="00127E47"/>
    <w:rsid w:val="00130D4C"/>
    <w:rsid w:val="001311E5"/>
    <w:rsid w:val="001312D6"/>
    <w:rsid w:val="0013647A"/>
    <w:rsid w:val="00137A89"/>
    <w:rsid w:val="00143F59"/>
    <w:rsid w:val="00145A14"/>
    <w:rsid w:val="00147301"/>
    <w:rsid w:val="001507B4"/>
    <w:rsid w:val="00151C18"/>
    <w:rsid w:val="001529C5"/>
    <w:rsid w:val="00155E6A"/>
    <w:rsid w:val="00161BEC"/>
    <w:rsid w:val="00165ECE"/>
    <w:rsid w:val="00167BD5"/>
    <w:rsid w:val="00172857"/>
    <w:rsid w:val="001728BF"/>
    <w:rsid w:val="00174B68"/>
    <w:rsid w:val="001830F2"/>
    <w:rsid w:val="00183EFF"/>
    <w:rsid w:val="00184E26"/>
    <w:rsid w:val="00185B0C"/>
    <w:rsid w:val="00192F21"/>
    <w:rsid w:val="00194A5F"/>
    <w:rsid w:val="00195917"/>
    <w:rsid w:val="001A0712"/>
    <w:rsid w:val="001A3BA3"/>
    <w:rsid w:val="001A5E36"/>
    <w:rsid w:val="001A650E"/>
    <w:rsid w:val="001A683F"/>
    <w:rsid w:val="001A76E0"/>
    <w:rsid w:val="001B1362"/>
    <w:rsid w:val="001B3CAA"/>
    <w:rsid w:val="001B3F3F"/>
    <w:rsid w:val="001B70B6"/>
    <w:rsid w:val="001C208D"/>
    <w:rsid w:val="001C2A81"/>
    <w:rsid w:val="001C4C4E"/>
    <w:rsid w:val="001D04AA"/>
    <w:rsid w:val="001D0A59"/>
    <w:rsid w:val="001D4F07"/>
    <w:rsid w:val="001E1B80"/>
    <w:rsid w:val="001E4043"/>
    <w:rsid w:val="001E5385"/>
    <w:rsid w:val="001E5DF0"/>
    <w:rsid w:val="001E5E26"/>
    <w:rsid w:val="001E610F"/>
    <w:rsid w:val="001E7959"/>
    <w:rsid w:val="001F2BD7"/>
    <w:rsid w:val="001F42C0"/>
    <w:rsid w:val="001F45BE"/>
    <w:rsid w:val="00201CA8"/>
    <w:rsid w:val="0020451C"/>
    <w:rsid w:val="002070F1"/>
    <w:rsid w:val="00212427"/>
    <w:rsid w:val="00215DFF"/>
    <w:rsid w:val="00217484"/>
    <w:rsid w:val="00217813"/>
    <w:rsid w:val="00217F48"/>
    <w:rsid w:val="00220A31"/>
    <w:rsid w:val="002210CC"/>
    <w:rsid w:val="00221D52"/>
    <w:rsid w:val="002237F5"/>
    <w:rsid w:val="00223E38"/>
    <w:rsid w:val="0022688F"/>
    <w:rsid w:val="00226B15"/>
    <w:rsid w:val="00227D61"/>
    <w:rsid w:val="0023159D"/>
    <w:rsid w:val="00234700"/>
    <w:rsid w:val="00235667"/>
    <w:rsid w:val="0023631D"/>
    <w:rsid w:val="00240564"/>
    <w:rsid w:val="00241968"/>
    <w:rsid w:val="00243F4C"/>
    <w:rsid w:val="00245529"/>
    <w:rsid w:val="00251969"/>
    <w:rsid w:val="00251E31"/>
    <w:rsid w:val="002527FE"/>
    <w:rsid w:val="002529B5"/>
    <w:rsid w:val="0025352C"/>
    <w:rsid w:val="002616B1"/>
    <w:rsid w:val="002624F5"/>
    <w:rsid w:val="002630BF"/>
    <w:rsid w:val="0026694F"/>
    <w:rsid w:val="00267B7C"/>
    <w:rsid w:val="002736A2"/>
    <w:rsid w:val="0027744C"/>
    <w:rsid w:val="002804BA"/>
    <w:rsid w:val="0028348D"/>
    <w:rsid w:val="0028483F"/>
    <w:rsid w:val="00284F86"/>
    <w:rsid w:val="00286504"/>
    <w:rsid w:val="00290A25"/>
    <w:rsid w:val="002911E0"/>
    <w:rsid w:val="002950AC"/>
    <w:rsid w:val="002953E8"/>
    <w:rsid w:val="0029758A"/>
    <w:rsid w:val="002A2C22"/>
    <w:rsid w:val="002A7367"/>
    <w:rsid w:val="002B2BAA"/>
    <w:rsid w:val="002B2F5D"/>
    <w:rsid w:val="002B34D2"/>
    <w:rsid w:val="002B4904"/>
    <w:rsid w:val="002B5BBF"/>
    <w:rsid w:val="002C1057"/>
    <w:rsid w:val="002C19C2"/>
    <w:rsid w:val="002C2191"/>
    <w:rsid w:val="002C2714"/>
    <w:rsid w:val="002C3543"/>
    <w:rsid w:val="002C3C3A"/>
    <w:rsid w:val="002C4BE9"/>
    <w:rsid w:val="002C55FB"/>
    <w:rsid w:val="002C56B3"/>
    <w:rsid w:val="002C7AFA"/>
    <w:rsid w:val="002D4C69"/>
    <w:rsid w:val="002D54D4"/>
    <w:rsid w:val="002D7AA4"/>
    <w:rsid w:val="002E2989"/>
    <w:rsid w:val="002E32D3"/>
    <w:rsid w:val="002E4233"/>
    <w:rsid w:val="002E44E9"/>
    <w:rsid w:val="002E5FDE"/>
    <w:rsid w:val="002E7325"/>
    <w:rsid w:val="002F04D1"/>
    <w:rsid w:val="002F0676"/>
    <w:rsid w:val="002F093D"/>
    <w:rsid w:val="002F20F0"/>
    <w:rsid w:val="002F529D"/>
    <w:rsid w:val="00302005"/>
    <w:rsid w:val="003034BD"/>
    <w:rsid w:val="003045B1"/>
    <w:rsid w:val="00310825"/>
    <w:rsid w:val="0031212F"/>
    <w:rsid w:val="0031268D"/>
    <w:rsid w:val="00314C3C"/>
    <w:rsid w:val="00320AEC"/>
    <w:rsid w:val="00323C4A"/>
    <w:rsid w:val="00333280"/>
    <w:rsid w:val="003341D9"/>
    <w:rsid w:val="0033462C"/>
    <w:rsid w:val="00337667"/>
    <w:rsid w:val="00341A0B"/>
    <w:rsid w:val="00342605"/>
    <w:rsid w:val="0034461E"/>
    <w:rsid w:val="00345960"/>
    <w:rsid w:val="003536D8"/>
    <w:rsid w:val="00356432"/>
    <w:rsid w:val="00362388"/>
    <w:rsid w:val="0037166F"/>
    <w:rsid w:val="0037181A"/>
    <w:rsid w:val="00374F5C"/>
    <w:rsid w:val="003762C5"/>
    <w:rsid w:val="00376EAE"/>
    <w:rsid w:val="00376ED4"/>
    <w:rsid w:val="003804F7"/>
    <w:rsid w:val="00380DAA"/>
    <w:rsid w:val="00383568"/>
    <w:rsid w:val="0038394C"/>
    <w:rsid w:val="00383DF7"/>
    <w:rsid w:val="0038548D"/>
    <w:rsid w:val="0038552C"/>
    <w:rsid w:val="00386254"/>
    <w:rsid w:val="00386816"/>
    <w:rsid w:val="003916B5"/>
    <w:rsid w:val="00391974"/>
    <w:rsid w:val="00391B54"/>
    <w:rsid w:val="003943CB"/>
    <w:rsid w:val="003948D9"/>
    <w:rsid w:val="00394961"/>
    <w:rsid w:val="00397142"/>
    <w:rsid w:val="003972CC"/>
    <w:rsid w:val="0039768F"/>
    <w:rsid w:val="003A233F"/>
    <w:rsid w:val="003A3013"/>
    <w:rsid w:val="003B03B9"/>
    <w:rsid w:val="003B1597"/>
    <w:rsid w:val="003B1EEB"/>
    <w:rsid w:val="003B2F82"/>
    <w:rsid w:val="003B3985"/>
    <w:rsid w:val="003B4ED2"/>
    <w:rsid w:val="003B5AD0"/>
    <w:rsid w:val="003C290B"/>
    <w:rsid w:val="003C3938"/>
    <w:rsid w:val="003C5AE8"/>
    <w:rsid w:val="003C5FFC"/>
    <w:rsid w:val="003D1334"/>
    <w:rsid w:val="003D4468"/>
    <w:rsid w:val="003D682E"/>
    <w:rsid w:val="003E250E"/>
    <w:rsid w:val="003E5869"/>
    <w:rsid w:val="003E5FFF"/>
    <w:rsid w:val="003E6369"/>
    <w:rsid w:val="003E76F1"/>
    <w:rsid w:val="003F3D6D"/>
    <w:rsid w:val="003F680F"/>
    <w:rsid w:val="003F6D13"/>
    <w:rsid w:val="00400FDC"/>
    <w:rsid w:val="0040191E"/>
    <w:rsid w:val="00402202"/>
    <w:rsid w:val="00402EFA"/>
    <w:rsid w:val="00403132"/>
    <w:rsid w:val="00412088"/>
    <w:rsid w:val="00414011"/>
    <w:rsid w:val="0041515D"/>
    <w:rsid w:val="00417266"/>
    <w:rsid w:val="004248CA"/>
    <w:rsid w:val="0042599E"/>
    <w:rsid w:val="00427F67"/>
    <w:rsid w:val="00430D6F"/>
    <w:rsid w:val="0043183D"/>
    <w:rsid w:val="00432BFB"/>
    <w:rsid w:val="00433B9F"/>
    <w:rsid w:val="0043598B"/>
    <w:rsid w:val="004359A8"/>
    <w:rsid w:val="0043675C"/>
    <w:rsid w:val="0044292C"/>
    <w:rsid w:val="00443464"/>
    <w:rsid w:val="004436EC"/>
    <w:rsid w:val="00443F64"/>
    <w:rsid w:val="00446700"/>
    <w:rsid w:val="00452F37"/>
    <w:rsid w:val="004553B9"/>
    <w:rsid w:val="00456A67"/>
    <w:rsid w:val="004578AE"/>
    <w:rsid w:val="00460767"/>
    <w:rsid w:val="00462C87"/>
    <w:rsid w:val="0046365C"/>
    <w:rsid w:val="00463C2B"/>
    <w:rsid w:val="0046422D"/>
    <w:rsid w:val="004642A1"/>
    <w:rsid w:val="00473CDE"/>
    <w:rsid w:val="00474C98"/>
    <w:rsid w:val="00482C96"/>
    <w:rsid w:val="00482ED5"/>
    <w:rsid w:val="004850D5"/>
    <w:rsid w:val="0048726E"/>
    <w:rsid w:val="004937C0"/>
    <w:rsid w:val="00493D56"/>
    <w:rsid w:val="00495D55"/>
    <w:rsid w:val="004A147F"/>
    <w:rsid w:val="004B01BB"/>
    <w:rsid w:val="004B09B5"/>
    <w:rsid w:val="004B1F3F"/>
    <w:rsid w:val="004B29A1"/>
    <w:rsid w:val="004B62A5"/>
    <w:rsid w:val="004C0909"/>
    <w:rsid w:val="004C1DD5"/>
    <w:rsid w:val="004C5740"/>
    <w:rsid w:val="004C7864"/>
    <w:rsid w:val="004D072F"/>
    <w:rsid w:val="004D0733"/>
    <w:rsid w:val="004D0AAE"/>
    <w:rsid w:val="004D12A6"/>
    <w:rsid w:val="004D2C92"/>
    <w:rsid w:val="004D3527"/>
    <w:rsid w:val="004D4EF3"/>
    <w:rsid w:val="004E0EDC"/>
    <w:rsid w:val="004E10C0"/>
    <w:rsid w:val="004E5BF2"/>
    <w:rsid w:val="004E5DE5"/>
    <w:rsid w:val="004E5E5C"/>
    <w:rsid w:val="004F27D2"/>
    <w:rsid w:val="004F42C7"/>
    <w:rsid w:val="004F57F0"/>
    <w:rsid w:val="004F72C4"/>
    <w:rsid w:val="005010F9"/>
    <w:rsid w:val="0050315B"/>
    <w:rsid w:val="005039CF"/>
    <w:rsid w:val="0050502F"/>
    <w:rsid w:val="00505AAA"/>
    <w:rsid w:val="005065A7"/>
    <w:rsid w:val="00507D0E"/>
    <w:rsid w:val="00510D73"/>
    <w:rsid w:val="005126D7"/>
    <w:rsid w:val="0051478A"/>
    <w:rsid w:val="0051625B"/>
    <w:rsid w:val="0052104A"/>
    <w:rsid w:val="00524C5C"/>
    <w:rsid w:val="00526915"/>
    <w:rsid w:val="005312F9"/>
    <w:rsid w:val="00535123"/>
    <w:rsid w:val="00536A2B"/>
    <w:rsid w:val="005372BD"/>
    <w:rsid w:val="00540D02"/>
    <w:rsid w:val="005419B7"/>
    <w:rsid w:val="00542885"/>
    <w:rsid w:val="00543F38"/>
    <w:rsid w:val="00550C99"/>
    <w:rsid w:val="005529BE"/>
    <w:rsid w:val="0055340B"/>
    <w:rsid w:val="0055477B"/>
    <w:rsid w:val="005566AB"/>
    <w:rsid w:val="00563102"/>
    <w:rsid w:val="0056400D"/>
    <w:rsid w:val="005675B2"/>
    <w:rsid w:val="00571E06"/>
    <w:rsid w:val="00575A82"/>
    <w:rsid w:val="005766D9"/>
    <w:rsid w:val="00577F8F"/>
    <w:rsid w:val="00581F09"/>
    <w:rsid w:val="0058288B"/>
    <w:rsid w:val="00582D4B"/>
    <w:rsid w:val="0058553C"/>
    <w:rsid w:val="00591A33"/>
    <w:rsid w:val="00592D31"/>
    <w:rsid w:val="0059404D"/>
    <w:rsid w:val="00597F40"/>
    <w:rsid w:val="005A0BB8"/>
    <w:rsid w:val="005A107B"/>
    <w:rsid w:val="005A797C"/>
    <w:rsid w:val="005B2546"/>
    <w:rsid w:val="005B32A5"/>
    <w:rsid w:val="005B472E"/>
    <w:rsid w:val="005B4E8A"/>
    <w:rsid w:val="005B6CD2"/>
    <w:rsid w:val="005C0172"/>
    <w:rsid w:val="005C3259"/>
    <w:rsid w:val="005C6088"/>
    <w:rsid w:val="005C638A"/>
    <w:rsid w:val="005D0348"/>
    <w:rsid w:val="005D294E"/>
    <w:rsid w:val="005D31B6"/>
    <w:rsid w:val="005D3510"/>
    <w:rsid w:val="005D3B6F"/>
    <w:rsid w:val="005D479D"/>
    <w:rsid w:val="005D6027"/>
    <w:rsid w:val="005D7865"/>
    <w:rsid w:val="005E04C5"/>
    <w:rsid w:val="005E42C8"/>
    <w:rsid w:val="005E6AD6"/>
    <w:rsid w:val="005F34C6"/>
    <w:rsid w:val="005F3B30"/>
    <w:rsid w:val="005F4594"/>
    <w:rsid w:val="005F7337"/>
    <w:rsid w:val="005F7EB8"/>
    <w:rsid w:val="006010EB"/>
    <w:rsid w:val="0060275F"/>
    <w:rsid w:val="00606969"/>
    <w:rsid w:val="006102B5"/>
    <w:rsid w:val="00613365"/>
    <w:rsid w:val="0061395F"/>
    <w:rsid w:val="00617BDF"/>
    <w:rsid w:val="00622071"/>
    <w:rsid w:val="00622A9B"/>
    <w:rsid w:val="00622B49"/>
    <w:rsid w:val="006256CD"/>
    <w:rsid w:val="0062634B"/>
    <w:rsid w:val="00627E76"/>
    <w:rsid w:val="00631CB8"/>
    <w:rsid w:val="00631D91"/>
    <w:rsid w:val="006325A6"/>
    <w:rsid w:val="00635F4E"/>
    <w:rsid w:val="006363D0"/>
    <w:rsid w:val="00640B87"/>
    <w:rsid w:val="00646841"/>
    <w:rsid w:val="00646CEC"/>
    <w:rsid w:val="0065113E"/>
    <w:rsid w:val="00653D47"/>
    <w:rsid w:val="00655953"/>
    <w:rsid w:val="006566E2"/>
    <w:rsid w:val="00660647"/>
    <w:rsid w:val="00662888"/>
    <w:rsid w:val="006667C5"/>
    <w:rsid w:val="00674542"/>
    <w:rsid w:val="0068250C"/>
    <w:rsid w:val="00692567"/>
    <w:rsid w:val="00694AD1"/>
    <w:rsid w:val="00695FA8"/>
    <w:rsid w:val="00697AD8"/>
    <w:rsid w:val="006A18FA"/>
    <w:rsid w:val="006A1B57"/>
    <w:rsid w:val="006A1F86"/>
    <w:rsid w:val="006B071C"/>
    <w:rsid w:val="006B1F3B"/>
    <w:rsid w:val="006B1FBF"/>
    <w:rsid w:val="006B4B23"/>
    <w:rsid w:val="006B5D7F"/>
    <w:rsid w:val="006C0513"/>
    <w:rsid w:val="006C2607"/>
    <w:rsid w:val="006D0BBF"/>
    <w:rsid w:val="006D35B9"/>
    <w:rsid w:val="006D6E0C"/>
    <w:rsid w:val="006E2636"/>
    <w:rsid w:val="006E3286"/>
    <w:rsid w:val="006E7103"/>
    <w:rsid w:val="006E71C0"/>
    <w:rsid w:val="006F2E65"/>
    <w:rsid w:val="006F3015"/>
    <w:rsid w:val="006F61F1"/>
    <w:rsid w:val="006F6BBE"/>
    <w:rsid w:val="00701A64"/>
    <w:rsid w:val="007026A9"/>
    <w:rsid w:val="00703597"/>
    <w:rsid w:val="00706461"/>
    <w:rsid w:val="00712AF7"/>
    <w:rsid w:val="00713314"/>
    <w:rsid w:val="00713CB5"/>
    <w:rsid w:val="00713CFD"/>
    <w:rsid w:val="0071471D"/>
    <w:rsid w:val="007148D7"/>
    <w:rsid w:val="00715120"/>
    <w:rsid w:val="00716C4E"/>
    <w:rsid w:val="0072064A"/>
    <w:rsid w:val="007207EB"/>
    <w:rsid w:val="00721446"/>
    <w:rsid w:val="0072192A"/>
    <w:rsid w:val="007220A3"/>
    <w:rsid w:val="00723ECF"/>
    <w:rsid w:val="00726733"/>
    <w:rsid w:val="00726B9E"/>
    <w:rsid w:val="007320E9"/>
    <w:rsid w:val="007376FE"/>
    <w:rsid w:val="00737B9A"/>
    <w:rsid w:val="00741F3E"/>
    <w:rsid w:val="007434D9"/>
    <w:rsid w:val="00750D16"/>
    <w:rsid w:val="00751556"/>
    <w:rsid w:val="00751C19"/>
    <w:rsid w:val="00754A29"/>
    <w:rsid w:val="00754F2C"/>
    <w:rsid w:val="007563CB"/>
    <w:rsid w:val="0076053A"/>
    <w:rsid w:val="00761924"/>
    <w:rsid w:val="00761DB6"/>
    <w:rsid w:val="00762BED"/>
    <w:rsid w:val="00762E13"/>
    <w:rsid w:val="00765ED1"/>
    <w:rsid w:val="00767F8D"/>
    <w:rsid w:val="00773216"/>
    <w:rsid w:val="007802FD"/>
    <w:rsid w:val="007805DC"/>
    <w:rsid w:val="00783EAB"/>
    <w:rsid w:val="007842D2"/>
    <w:rsid w:val="00787B1E"/>
    <w:rsid w:val="00787D1D"/>
    <w:rsid w:val="0079302D"/>
    <w:rsid w:val="00793428"/>
    <w:rsid w:val="00793E59"/>
    <w:rsid w:val="007941BD"/>
    <w:rsid w:val="0079741F"/>
    <w:rsid w:val="00797EB4"/>
    <w:rsid w:val="007A5749"/>
    <w:rsid w:val="007C0220"/>
    <w:rsid w:val="007C15DD"/>
    <w:rsid w:val="007C3564"/>
    <w:rsid w:val="007C5D01"/>
    <w:rsid w:val="007C62DA"/>
    <w:rsid w:val="007D708B"/>
    <w:rsid w:val="007E091B"/>
    <w:rsid w:val="007E1A18"/>
    <w:rsid w:val="007E1ABA"/>
    <w:rsid w:val="007E57BA"/>
    <w:rsid w:val="007F1D92"/>
    <w:rsid w:val="007F2076"/>
    <w:rsid w:val="007F6808"/>
    <w:rsid w:val="00800CDB"/>
    <w:rsid w:val="00800F7F"/>
    <w:rsid w:val="0080113A"/>
    <w:rsid w:val="00801EF5"/>
    <w:rsid w:val="00810EB8"/>
    <w:rsid w:val="00811042"/>
    <w:rsid w:val="00811360"/>
    <w:rsid w:val="00815D4E"/>
    <w:rsid w:val="00816DA0"/>
    <w:rsid w:val="0081772E"/>
    <w:rsid w:val="008218BE"/>
    <w:rsid w:val="008218DF"/>
    <w:rsid w:val="00823D8E"/>
    <w:rsid w:val="00830E1C"/>
    <w:rsid w:val="008311E2"/>
    <w:rsid w:val="0083160C"/>
    <w:rsid w:val="00833589"/>
    <w:rsid w:val="0083470B"/>
    <w:rsid w:val="0083597F"/>
    <w:rsid w:val="00835A6E"/>
    <w:rsid w:val="00836638"/>
    <w:rsid w:val="00836910"/>
    <w:rsid w:val="00837243"/>
    <w:rsid w:val="00837B8C"/>
    <w:rsid w:val="00843711"/>
    <w:rsid w:val="00845BCB"/>
    <w:rsid w:val="00846F53"/>
    <w:rsid w:val="00846F6E"/>
    <w:rsid w:val="008476D3"/>
    <w:rsid w:val="00851BF5"/>
    <w:rsid w:val="00852C38"/>
    <w:rsid w:val="00853C07"/>
    <w:rsid w:val="00854BA4"/>
    <w:rsid w:val="0085602D"/>
    <w:rsid w:val="00857326"/>
    <w:rsid w:val="00864239"/>
    <w:rsid w:val="00864E90"/>
    <w:rsid w:val="00867FC2"/>
    <w:rsid w:val="00871D22"/>
    <w:rsid w:val="00871F42"/>
    <w:rsid w:val="00873216"/>
    <w:rsid w:val="0087388F"/>
    <w:rsid w:val="00880599"/>
    <w:rsid w:val="00880A42"/>
    <w:rsid w:val="00882025"/>
    <w:rsid w:val="0088351F"/>
    <w:rsid w:val="008854F8"/>
    <w:rsid w:val="008873ED"/>
    <w:rsid w:val="008934C6"/>
    <w:rsid w:val="00895A45"/>
    <w:rsid w:val="008964D3"/>
    <w:rsid w:val="008A0A52"/>
    <w:rsid w:val="008A2082"/>
    <w:rsid w:val="008A2265"/>
    <w:rsid w:val="008A2FDE"/>
    <w:rsid w:val="008A7739"/>
    <w:rsid w:val="008B018E"/>
    <w:rsid w:val="008B2D3F"/>
    <w:rsid w:val="008B4988"/>
    <w:rsid w:val="008C081F"/>
    <w:rsid w:val="008C19B4"/>
    <w:rsid w:val="008C5B1C"/>
    <w:rsid w:val="008D0746"/>
    <w:rsid w:val="008D2385"/>
    <w:rsid w:val="008D2AF1"/>
    <w:rsid w:val="008D59E7"/>
    <w:rsid w:val="008E2129"/>
    <w:rsid w:val="008E237D"/>
    <w:rsid w:val="008E3591"/>
    <w:rsid w:val="008E4A43"/>
    <w:rsid w:val="008E4BC9"/>
    <w:rsid w:val="008E4D8C"/>
    <w:rsid w:val="008E5D13"/>
    <w:rsid w:val="008F2370"/>
    <w:rsid w:val="008F2A1E"/>
    <w:rsid w:val="008F62AA"/>
    <w:rsid w:val="00903350"/>
    <w:rsid w:val="00903926"/>
    <w:rsid w:val="00903DA0"/>
    <w:rsid w:val="0090412D"/>
    <w:rsid w:val="00904BC1"/>
    <w:rsid w:val="00907A57"/>
    <w:rsid w:val="00911BEA"/>
    <w:rsid w:val="00920F6F"/>
    <w:rsid w:val="00921EB1"/>
    <w:rsid w:val="009222EA"/>
    <w:rsid w:val="00922B50"/>
    <w:rsid w:val="00923920"/>
    <w:rsid w:val="00924CBE"/>
    <w:rsid w:val="009256E4"/>
    <w:rsid w:val="009312B3"/>
    <w:rsid w:val="00931C8D"/>
    <w:rsid w:val="00931CC8"/>
    <w:rsid w:val="0093226B"/>
    <w:rsid w:val="00932D6D"/>
    <w:rsid w:val="00932FD0"/>
    <w:rsid w:val="00934187"/>
    <w:rsid w:val="009357D9"/>
    <w:rsid w:val="00940536"/>
    <w:rsid w:val="00941091"/>
    <w:rsid w:val="009413D4"/>
    <w:rsid w:val="009418AC"/>
    <w:rsid w:val="00951C1B"/>
    <w:rsid w:val="00951E2D"/>
    <w:rsid w:val="00952C8D"/>
    <w:rsid w:val="00954398"/>
    <w:rsid w:val="00955709"/>
    <w:rsid w:val="0096092E"/>
    <w:rsid w:val="00965B1F"/>
    <w:rsid w:val="00965BEF"/>
    <w:rsid w:val="00971E91"/>
    <w:rsid w:val="00973338"/>
    <w:rsid w:val="00973EBB"/>
    <w:rsid w:val="009755BF"/>
    <w:rsid w:val="00975B79"/>
    <w:rsid w:val="00983423"/>
    <w:rsid w:val="00991412"/>
    <w:rsid w:val="009915EB"/>
    <w:rsid w:val="009919D9"/>
    <w:rsid w:val="0099281C"/>
    <w:rsid w:val="00992ACE"/>
    <w:rsid w:val="00993823"/>
    <w:rsid w:val="0099420F"/>
    <w:rsid w:val="00995C90"/>
    <w:rsid w:val="00996F1E"/>
    <w:rsid w:val="00997215"/>
    <w:rsid w:val="009A0CE7"/>
    <w:rsid w:val="009A3B91"/>
    <w:rsid w:val="009A7645"/>
    <w:rsid w:val="009A7C77"/>
    <w:rsid w:val="009A7F74"/>
    <w:rsid w:val="009B0822"/>
    <w:rsid w:val="009B3AFE"/>
    <w:rsid w:val="009B4CDF"/>
    <w:rsid w:val="009B572B"/>
    <w:rsid w:val="009C4A1B"/>
    <w:rsid w:val="009C5E18"/>
    <w:rsid w:val="009C7407"/>
    <w:rsid w:val="009D4ADC"/>
    <w:rsid w:val="009D5164"/>
    <w:rsid w:val="009D706F"/>
    <w:rsid w:val="009D7AC1"/>
    <w:rsid w:val="009E055F"/>
    <w:rsid w:val="009E2A1F"/>
    <w:rsid w:val="009E2E4B"/>
    <w:rsid w:val="009E444E"/>
    <w:rsid w:val="009E7BDF"/>
    <w:rsid w:val="009F40EF"/>
    <w:rsid w:val="009F4BE9"/>
    <w:rsid w:val="009F4D15"/>
    <w:rsid w:val="009F7E38"/>
    <w:rsid w:val="00A008A2"/>
    <w:rsid w:val="00A076CA"/>
    <w:rsid w:val="00A07996"/>
    <w:rsid w:val="00A10A82"/>
    <w:rsid w:val="00A10E5B"/>
    <w:rsid w:val="00A11E9A"/>
    <w:rsid w:val="00A15027"/>
    <w:rsid w:val="00A16D84"/>
    <w:rsid w:val="00A1750E"/>
    <w:rsid w:val="00A17822"/>
    <w:rsid w:val="00A21827"/>
    <w:rsid w:val="00A22672"/>
    <w:rsid w:val="00A242A0"/>
    <w:rsid w:val="00A24B43"/>
    <w:rsid w:val="00A2727A"/>
    <w:rsid w:val="00A27F32"/>
    <w:rsid w:val="00A30050"/>
    <w:rsid w:val="00A33F12"/>
    <w:rsid w:val="00A34327"/>
    <w:rsid w:val="00A35F69"/>
    <w:rsid w:val="00A37005"/>
    <w:rsid w:val="00A42474"/>
    <w:rsid w:val="00A432C2"/>
    <w:rsid w:val="00A43D13"/>
    <w:rsid w:val="00A452F1"/>
    <w:rsid w:val="00A45345"/>
    <w:rsid w:val="00A45451"/>
    <w:rsid w:val="00A50DF0"/>
    <w:rsid w:val="00A51B11"/>
    <w:rsid w:val="00A55DAE"/>
    <w:rsid w:val="00A60C5C"/>
    <w:rsid w:val="00A62042"/>
    <w:rsid w:val="00A641BA"/>
    <w:rsid w:val="00A66D17"/>
    <w:rsid w:val="00A70B65"/>
    <w:rsid w:val="00A70F89"/>
    <w:rsid w:val="00A71F26"/>
    <w:rsid w:val="00A777DC"/>
    <w:rsid w:val="00A77ED1"/>
    <w:rsid w:val="00A807E2"/>
    <w:rsid w:val="00A81BBE"/>
    <w:rsid w:val="00A85141"/>
    <w:rsid w:val="00A86E69"/>
    <w:rsid w:val="00A91A8B"/>
    <w:rsid w:val="00A9521C"/>
    <w:rsid w:val="00A95611"/>
    <w:rsid w:val="00A961E1"/>
    <w:rsid w:val="00AA0DDA"/>
    <w:rsid w:val="00AA24A6"/>
    <w:rsid w:val="00AA35A0"/>
    <w:rsid w:val="00AA6BC6"/>
    <w:rsid w:val="00AB1968"/>
    <w:rsid w:val="00AB1F61"/>
    <w:rsid w:val="00AB7D0D"/>
    <w:rsid w:val="00AC1E3F"/>
    <w:rsid w:val="00AC3547"/>
    <w:rsid w:val="00AC3939"/>
    <w:rsid w:val="00AC3B7F"/>
    <w:rsid w:val="00AC53B9"/>
    <w:rsid w:val="00AC5758"/>
    <w:rsid w:val="00AC5B19"/>
    <w:rsid w:val="00AD105E"/>
    <w:rsid w:val="00AD3888"/>
    <w:rsid w:val="00AD691E"/>
    <w:rsid w:val="00AD76AD"/>
    <w:rsid w:val="00AE199B"/>
    <w:rsid w:val="00AE3103"/>
    <w:rsid w:val="00AE3FE0"/>
    <w:rsid w:val="00AE69EA"/>
    <w:rsid w:val="00AE7C22"/>
    <w:rsid w:val="00AF109E"/>
    <w:rsid w:val="00AF1308"/>
    <w:rsid w:val="00AF41BE"/>
    <w:rsid w:val="00AF47CD"/>
    <w:rsid w:val="00AF5140"/>
    <w:rsid w:val="00AF5ADD"/>
    <w:rsid w:val="00B041F5"/>
    <w:rsid w:val="00B0752F"/>
    <w:rsid w:val="00B106AC"/>
    <w:rsid w:val="00B111D9"/>
    <w:rsid w:val="00B12AAA"/>
    <w:rsid w:val="00B1710B"/>
    <w:rsid w:val="00B17E82"/>
    <w:rsid w:val="00B21653"/>
    <w:rsid w:val="00B23A4F"/>
    <w:rsid w:val="00B264C6"/>
    <w:rsid w:val="00B26BF2"/>
    <w:rsid w:val="00B2749A"/>
    <w:rsid w:val="00B3083C"/>
    <w:rsid w:val="00B3195C"/>
    <w:rsid w:val="00B327F5"/>
    <w:rsid w:val="00B341B8"/>
    <w:rsid w:val="00B36BE3"/>
    <w:rsid w:val="00B433FB"/>
    <w:rsid w:val="00B45C40"/>
    <w:rsid w:val="00B51A7E"/>
    <w:rsid w:val="00B52E72"/>
    <w:rsid w:val="00B56B24"/>
    <w:rsid w:val="00B613A7"/>
    <w:rsid w:val="00B61AE1"/>
    <w:rsid w:val="00B62935"/>
    <w:rsid w:val="00B63D12"/>
    <w:rsid w:val="00B64922"/>
    <w:rsid w:val="00B66294"/>
    <w:rsid w:val="00B6695E"/>
    <w:rsid w:val="00B675CF"/>
    <w:rsid w:val="00B67E21"/>
    <w:rsid w:val="00B7147E"/>
    <w:rsid w:val="00B71C5E"/>
    <w:rsid w:val="00B72B5F"/>
    <w:rsid w:val="00B74914"/>
    <w:rsid w:val="00B84264"/>
    <w:rsid w:val="00B873A1"/>
    <w:rsid w:val="00B875C0"/>
    <w:rsid w:val="00B877FC"/>
    <w:rsid w:val="00B944D3"/>
    <w:rsid w:val="00BA00B6"/>
    <w:rsid w:val="00BA02CD"/>
    <w:rsid w:val="00BA13E8"/>
    <w:rsid w:val="00BA2BB6"/>
    <w:rsid w:val="00BA3BF7"/>
    <w:rsid w:val="00BA3FE3"/>
    <w:rsid w:val="00BA3FEA"/>
    <w:rsid w:val="00BA59A7"/>
    <w:rsid w:val="00BB1205"/>
    <w:rsid w:val="00BB3A8D"/>
    <w:rsid w:val="00BB50C1"/>
    <w:rsid w:val="00BB7A2E"/>
    <w:rsid w:val="00BC0B48"/>
    <w:rsid w:val="00BC11EC"/>
    <w:rsid w:val="00BC1EFD"/>
    <w:rsid w:val="00BC3305"/>
    <w:rsid w:val="00BC3CC8"/>
    <w:rsid w:val="00BD2960"/>
    <w:rsid w:val="00BD2DB4"/>
    <w:rsid w:val="00BE322F"/>
    <w:rsid w:val="00BF3717"/>
    <w:rsid w:val="00BF41F7"/>
    <w:rsid w:val="00BF51B1"/>
    <w:rsid w:val="00C0105E"/>
    <w:rsid w:val="00C05953"/>
    <w:rsid w:val="00C077C0"/>
    <w:rsid w:val="00C101AC"/>
    <w:rsid w:val="00C10FFA"/>
    <w:rsid w:val="00C13EBE"/>
    <w:rsid w:val="00C15A77"/>
    <w:rsid w:val="00C23819"/>
    <w:rsid w:val="00C2494F"/>
    <w:rsid w:val="00C32DEC"/>
    <w:rsid w:val="00C350E7"/>
    <w:rsid w:val="00C4024E"/>
    <w:rsid w:val="00C408FC"/>
    <w:rsid w:val="00C42F1D"/>
    <w:rsid w:val="00C44EF9"/>
    <w:rsid w:val="00C54B87"/>
    <w:rsid w:val="00C55D23"/>
    <w:rsid w:val="00C56DB8"/>
    <w:rsid w:val="00C5725D"/>
    <w:rsid w:val="00C666BE"/>
    <w:rsid w:val="00C670D9"/>
    <w:rsid w:val="00C70D2A"/>
    <w:rsid w:val="00C7217D"/>
    <w:rsid w:val="00C73F82"/>
    <w:rsid w:val="00C7436F"/>
    <w:rsid w:val="00C745D3"/>
    <w:rsid w:val="00C75BE1"/>
    <w:rsid w:val="00C80672"/>
    <w:rsid w:val="00C82E90"/>
    <w:rsid w:val="00C85DF7"/>
    <w:rsid w:val="00C9005E"/>
    <w:rsid w:val="00C90069"/>
    <w:rsid w:val="00C9035A"/>
    <w:rsid w:val="00C92109"/>
    <w:rsid w:val="00C93061"/>
    <w:rsid w:val="00C9371E"/>
    <w:rsid w:val="00C96435"/>
    <w:rsid w:val="00CA010D"/>
    <w:rsid w:val="00CA1A8D"/>
    <w:rsid w:val="00CA7F31"/>
    <w:rsid w:val="00CA7F4B"/>
    <w:rsid w:val="00CB1DED"/>
    <w:rsid w:val="00CB515E"/>
    <w:rsid w:val="00CB7EA3"/>
    <w:rsid w:val="00CC365C"/>
    <w:rsid w:val="00CC4079"/>
    <w:rsid w:val="00CC5240"/>
    <w:rsid w:val="00CC589D"/>
    <w:rsid w:val="00CC6D80"/>
    <w:rsid w:val="00CD0054"/>
    <w:rsid w:val="00CD023E"/>
    <w:rsid w:val="00CD3B22"/>
    <w:rsid w:val="00CD509E"/>
    <w:rsid w:val="00CE0039"/>
    <w:rsid w:val="00CE1A75"/>
    <w:rsid w:val="00CE3529"/>
    <w:rsid w:val="00CE684D"/>
    <w:rsid w:val="00CE698B"/>
    <w:rsid w:val="00CE774C"/>
    <w:rsid w:val="00CE7973"/>
    <w:rsid w:val="00CF3424"/>
    <w:rsid w:val="00CF3880"/>
    <w:rsid w:val="00CF54E9"/>
    <w:rsid w:val="00CF63EA"/>
    <w:rsid w:val="00CF6546"/>
    <w:rsid w:val="00D0324E"/>
    <w:rsid w:val="00D05378"/>
    <w:rsid w:val="00D05AB2"/>
    <w:rsid w:val="00D068FE"/>
    <w:rsid w:val="00D072CB"/>
    <w:rsid w:val="00D07B48"/>
    <w:rsid w:val="00D10663"/>
    <w:rsid w:val="00D14F0B"/>
    <w:rsid w:val="00D160DA"/>
    <w:rsid w:val="00D21E3C"/>
    <w:rsid w:val="00D232F6"/>
    <w:rsid w:val="00D23500"/>
    <w:rsid w:val="00D254FD"/>
    <w:rsid w:val="00D270A6"/>
    <w:rsid w:val="00D3193F"/>
    <w:rsid w:val="00D34F2F"/>
    <w:rsid w:val="00D3560D"/>
    <w:rsid w:val="00D360D6"/>
    <w:rsid w:val="00D377AC"/>
    <w:rsid w:val="00D41276"/>
    <w:rsid w:val="00D4608A"/>
    <w:rsid w:val="00D50256"/>
    <w:rsid w:val="00D523A5"/>
    <w:rsid w:val="00D529D9"/>
    <w:rsid w:val="00D52D4B"/>
    <w:rsid w:val="00D54F72"/>
    <w:rsid w:val="00D55DCB"/>
    <w:rsid w:val="00D646BD"/>
    <w:rsid w:val="00D65F40"/>
    <w:rsid w:val="00D714DD"/>
    <w:rsid w:val="00D72C1F"/>
    <w:rsid w:val="00D732EF"/>
    <w:rsid w:val="00D74346"/>
    <w:rsid w:val="00D743F5"/>
    <w:rsid w:val="00D769D7"/>
    <w:rsid w:val="00D770A4"/>
    <w:rsid w:val="00D77B94"/>
    <w:rsid w:val="00D83E32"/>
    <w:rsid w:val="00D85700"/>
    <w:rsid w:val="00D85DCA"/>
    <w:rsid w:val="00D86C5F"/>
    <w:rsid w:val="00D87608"/>
    <w:rsid w:val="00D90E73"/>
    <w:rsid w:val="00D91923"/>
    <w:rsid w:val="00D92510"/>
    <w:rsid w:val="00D926F0"/>
    <w:rsid w:val="00D962D5"/>
    <w:rsid w:val="00D964CB"/>
    <w:rsid w:val="00DA0642"/>
    <w:rsid w:val="00DA1D01"/>
    <w:rsid w:val="00DA5B11"/>
    <w:rsid w:val="00DA719B"/>
    <w:rsid w:val="00DB013C"/>
    <w:rsid w:val="00DB08E1"/>
    <w:rsid w:val="00DB113C"/>
    <w:rsid w:val="00DC298E"/>
    <w:rsid w:val="00DC4EC0"/>
    <w:rsid w:val="00DC5576"/>
    <w:rsid w:val="00DC7760"/>
    <w:rsid w:val="00DC7FB4"/>
    <w:rsid w:val="00DD2F11"/>
    <w:rsid w:val="00DD46F3"/>
    <w:rsid w:val="00DD4A74"/>
    <w:rsid w:val="00DE0512"/>
    <w:rsid w:val="00DE5ECF"/>
    <w:rsid w:val="00DF269C"/>
    <w:rsid w:val="00DF26B8"/>
    <w:rsid w:val="00DF302A"/>
    <w:rsid w:val="00DF476F"/>
    <w:rsid w:val="00DF4F7C"/>
    <w:rsid w:val="00DF6033"/>
    <w:rsid w:val="00DF72F4"/>
    <w:rsid w:val="00DF7A1C"/>
    <w:rsid w:val="00E0164F"/>
    <w:rsid w:val="00E039F1"/>
    <w:rsid w:val="00E046DA"/>
    <w:rsid w:val="00E0474D"/>
    <w:rsid w:val="00E0516D"/>
    <w:rsid w:val="00E149AD"/>
    <w:rsid w:val="00E15D04"/>
    <w:rsid w:val="00E16073"/>
    <w:rsid w:val="00E16267"/>
    <w:rsid w:val="00E167B6"/>
    <w:rsid w:val="00E234C8"/>
    <w:rsid w:val="00E3506B"/>
    <w:rsid w:val="00E42A5C"/>
    <w:rsid w:val="00E47E47"/>
    <w:rsid w:val="00E52545"/>
    <w:rsid w:val="00E57B38"/>
    <w:rsid w:val="00E60180"/>
    <w:rsid w:val="00E60AAE"/>
    <w:rsid w:val="00E62B6B"/>
    <w:rsid w:val="00E63D59"/>
    <w:rsid w:val="00E67980"/>
    <w:rsid w:val="00E73FDC"/>
    <w:rsid w:val="00E74376"/>
    <w:rsid w:val="00E75A44"/>
    <w:rsid w:val="00E805B0"/>
    <w:rsid w:val="00E80C78"/>
    <w:rsid w:val="00E8131C"/>
    <w:rsid w:val="00E82400"/>
    <w:rsid w:val="00E82A5D"/>
    <w:rsid w:val="00E857BF"/>
    <w:rsid w:val="00E87736"/>
    <w:rsid w:val="00E9082B"/>
    <w:rsid w:val="00E91914"/>
    <w:rsid w:val="00E92F31"/>
    <w:rsid w:val="00EA0268"/>
    <w:rsid w:val="00EA0AB4"/>
    <w:rsid w:val="00EA16BD"/>
    <w:rsid w:val="00EA2781"/>
    <w:rsid w:val="00EA2C5E"/>
    <w:rsid w:val="00EA46FF"/>
    <w:rsid w:val="00EA611E"/>
    <w:rsid w:val="00EA7199"/>
    <w:rsid w:val="00EB2A7B"/>
    <w:rsid w:val="00EB59E7"/>
    <w:rsid w:val="00EB6EE8"/>
    <w:rsid w:val="00EB74C2"/>
    <w:rsid w:val="00EB7C1B"/>
    <w:rsid w:val="00EC08C9"/>
    <w:rsid w:val="00EC325A"/>
    <w:rsid w:val="00EC6A16"/>
    <w:rsid w:val="00ED0B09"/>
    <w:rsid w:val="00ED0BF2"/>
    <w:rsid w:val="00ED46C1"/>
    <w:rsid w:val="00ED4702"/>
    <w:rsid w:val="00ED5071"/>
    <w:rsid w:val="00ED6304"/>
    <w:rsid w:val="00ED764B"/>
    <w:rsid w:val="00ED764C"/>
    <w:rsid w:val="00EE2156"/>
    <w:rsid w:val="00EE2215"/>
    <w:rsid w:val="00EE2DA5"/>
    <w:rsid w:val="00EF3CAD"/>
    <w:rsid w:val="00EF3DBA"/>
    <w:rsid w:val="00EF3F48"/>
    <w:rsid w:val="00EF44C0"/>
    <w:rsid w:val="00EF556B"/>
    <w:rsid w:val="00F001C2"/>
    <w:rsid w:val="00F00A7F"/>
    <w:rsid w:val="00F01C28"/>
    <w:rsid w:val="00F01F2C"/>
    <w:rsid w:val="00F035CF"/>
    <w:rsid w:val="00F03A33"/>
    <w:rsid w:val="00F045E7"/>
    <w:rsid w:val="00F103B8"/>
    <w:rsid w:val="00F11008"/>
    <w:rsid w:val="00F11C73"/>
    <w:rsid w:val="00F136B4"/>
    <w:rsid w:val="00F15D16"/>
    <w:rsid w:val="00F178C1"/>
    <w:rsid w:val="00F17A1E"/>
    <w:rsid w:val="00F22C13"/>
    <w:rsid w:val="00F2605F"/>
    <w:rsid w:val="00F27AEF"/>
    <w:rsid w:val="00F302BA"/>
    <w:rsid w:val="00F327B3"/>
    <w:rsid w:val="00F3578D"/>
    <w:rsid w:val="00F40852"/>
    <w:rsid w:val="00F42820"/>
    <w:rsid w:val="00F46377"/>
    <w:rsid w:val="00F46DEF"/>
    <w:rsid w:val="00F47B0A"/>
    <w:rsid w:val="00F53BF6"/>
    <w:rsid w:val="00F5575E"/>
    <w:rsid w:val="00F558D2"/>
    <w:rsid w:val="00F60407"/>
    <w:rsid w:val="00F62CC8"/>
    <w:rsid w:val="00F64A4C"/>
    <w:rsid w:val="00F66450"/>
    <w:rsid w:val="00F704D3"/>
    <w:rsid w:val="00F70917"/>
    <w:rsid w:val="00F71B22"/>
    <w:rsid w:val="00F75A3D"/>
    <w:rsid w:val="00F83BFF"/>
    <w:rsid w:val="00F845F9"/>
    <w:rsid w:val="00F905E4"/>
    <w:rsid w:val="00F90DD4"/>
    <w:rsid w:val="00F947E5"/>
    <w:rsid w:val="00F9618F"/>
    <w:rsid w:val="00FA0B4C"/>
    <w:rsid w:val="00FA2C1D"/>
    <w:rsid w:val="00FA305A"/>
    <w:rsid w:val="00FA679D"/>
    <w:rsid w:val="00FA75E5"/>
    <w:rsid w:val="00FB364E"/>
    <w:rsid w:val="00FB40A0"/>
    <w:rsid w:val="00FB71FF"/>
    <w:rsid w:val="00FB7380"/>
    <w:rsid w:val="00FC1256"/>
    <w:rsid w:val="00FC1418"/>
    <w:rsid w:val="00FC3D6F"/>
    <w:rsid w:val="00FC3F0C"/>
    <w:rsid w:val="00FD0675"/>
    <w:rsid w:val="00FD3A99"/>
    <w:rsid w:val="00FD5221"/>
    <w:rsid w:val="00FD73A1"/>
    <w:rsid w:val="00FD7C6B"/>
    <w:rsid w:val="00FE2F03"/>
    <w:rsid w:val="00FE345F"/>
    <w:rsid w:val="00FE3715"/>
    <w:rsid w:val="00FE76B1"/>
    <w:rsid w:val="00FF2CD0"/>
    <w:rsid w:val="00FF386C"/>
    <w:rsid w:val="00FF4D8A"/>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4">
      <o:colormru v:ext="edit" colors="#10499a,#963,#330,#030,#066,#6cf,#f9f,black"/>
      <o:colormenu v:ext="edit" fillcolor="#030" strokecolor="#10499a" shadow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Batang"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745D3"/>
    <w:pPr>
      <w:spacing w:before="60" w:after="120" w:line="288" w:lineRule="auto"/>
      <w:ind w:firstLine="284"/>
      <w:jc w:val="both"/>
    </w:pPr>
    <w:rPr>
      <w:rFonts w:ascii="Arial" w:hAnsi="Arial" w:cs="Tahoma"/>
      <w:sz w:val="22"/>
      <w:lang w:eastAsia="es-ES"/>
    </w:rPr>
  </w:style>
  <w:style w:type="paragraph" w:styleId="Ttulo1">
    <w:name w:val="heading 1"/>
    <w:basedOn w:val="Normal"/>
    <w:next w:val="Ttulodendice"/>
    <w:autoRedefine/>
    <w:qFormat/>
    <w:rsid w:val="00BA3FE3"/>
    <w:pPr>
      <w:numPr>
        <w:numId w:val="83"/>
      </w:numPr>
      <w:spacing w:before="120"/>
      <w:jc w:val="left"/>
      <w:outlineLvl w:val="0"/>
    </w:pPr>
    <w:rPr>
      <w:rFonts w:ascii="Myriad Web Pro" w:hAnsi="Myriad Web Pro"/>
      <w:b/>
      <w:bCs/>
      <w:smallCaps/>
      <w:color w:val="214F75"/>
      <w:sz w:val="40"/>
      <w:szCs w:val="40"/>
    </w:rPr>
  </w:style>
  <w:style w:type="paragraph" w:styleId="Ttulo2">
    <w:name w:val="heading 2"/>
    <w:basedOn w:val="Normal"/>
    <w:next w:val="Normal"/>
    <w:link w:val="Ttulo2Car"/>
    <w:autoRedefine/>
    <w:qFormat/>
    <w:rsid w:val="000E71C1"/>
    <w:pPr>
      <w:keepNext/>
      <w:numPr>
        <w:ilvl w:val="1"/>
        <w:numId w:val="87"/>
      </w:numPr>
      <w:spacing w:before="120" w:after="240"/>
      <w:jc w:val="left"/>
      <w:outlineLvl w:val="1"/>
    </w:pPr>
    <w:rPr>
      <w:b/>
      <w:smallCaps/>
      <w:color w:val="214F75"/>
      <w:sz w:val="28"/>
      <w:szCs w:val="24"/>
    </w:rPr>
  </w:style>
  <w:style w:type="paragraph" w:styleId="Ttulo3">
    <w:name w:val="heading 3"/>
    <w:basedOn w:val="Normal"/>
    <w:next w:val="Normal"/>
    <w:autoRedefine/>
    <w:qFormat/>
    <w:rsid w:val="000E71C1"/>
    <w:pPr>
      <w:keepNext/>
      <w:numPr>
        <w:ilvl w:val="2"/>
        <w:numId w:val="56"/>
      </w:numPr>
      <w:spacing w:before="120"/>
      <w:jc w:val="left"/>
      <w:outlineLvl w:val="2"/>
    </w:pPr>
    <w:rPr>
      <w:b/>
      <w:color w:val="FF0000"/>
      <w:u w:val="single"/>
    </w:rPr>
  </w:style>
  <w:style w:type="paragraph" w:styleId="Ttulo4">
    <w:name w:val="heading 4"/>
    <w:basedOn w:val="Normal"/>
    <w:next w:val="Normal"/>
    <w:autoRedefine/>
    <w:qFormat/>
    <w:rsid w:val="001E5E26"/>
    <w:pPr>
      <w:keepNext/>
      <w:spacing w:before="40" w:after="60"/>
      <w:ind w:left="284" w:firstLine="0"/>
      <w:jc w:val="left"/>
      <w:outlineLvl w:val="3"/>
    </w:pPr>
    <w:rPr>
      <w:rFonts w:cs="Arial"/>
      <w:b/>
      <w:i/>
      <w:color w:val="214F75"/>
      <w:sz w:val="20"/>
      <w:u w:val="single"/>
    </w:rPr>
  </w:style>
  <w:style w:type="paragraph" w:styleId="Ttulo5">
    <w:name w:val="heading 5"/>
    <w:basedOn w:val="Normal"/>
    <w:next w:val="Normal"/>
    <w:autoRedefine/>
    <w:qFormat/>
    <w:rsid w:val="00C4024E"/>
    <w:pPr>
      <w:keepNext/>
      <w:spacing w:before="40" w:after="60"/>
      <w:ind w:left="1008" w:firstLine="0"/>
      <w:jc w:val="left"/>
      <w:outlineLvl w:val="4"/>
    </w:pPr>
    <w:rPr>
      <w:rFonts w:cs="Arial"/>
      <w:bCs/>
      <w:i/>
      <w:color w:val="214F75"/>
    </w:rPr>
  </w:style>
  <w:style w:type="paragraph" w:styleId="Ttulo6">
    <w:name w:val="heading 6"/>
    <w:basedOn w:val="Normal"/>
    <w:next w:val="Normal"/>
    <w:autoRedefine/>
    <w:qFormat/>
    <w:rsid w:val="00B63D12"/>
    <w:pPr>
      <w:keepNext/>
      <w:numPr>
        <w:ilvl w:val="5"/>
        <w:numId w:val="87"/>
      </w:numPr>
      <w:spacing w:before="40" w:after="40"/>
      <w:jc w:val="left"/>
      <w:outlineLvl w:val="5"/>
    </w:pPr>
    <w:rPr>
      <w:rFonts w:cs="Arial"/>
      <w:i/>
      <w:color w:val="214F71"/>
    </w:rPr>
  </w:style>
  <w:style w:type="paragraph" w:styleId="Ttulo7">
    <w:name w:val="heading 7"/>
    <w:basedOn w:val="Normal"/>
    <w:next w:val="Normal"/>
    <w:qFormat/>
    <w:rsid w:val="00B63D12"/>
    <w:pPr>
      <w:numPr>
        <w:ilvl w:val="6"/>
        <w:numId w:val="87"/>
      </w:numPr>
      <w:spacing w:before="40" w:after="40"/>
      <w:outlineLvl w:val="6"/>
    </w:pPr>
    <w:rPr>
      <w:i/>
      <w:color w:val="000080"/>
      <w:szCs w:val="24"/>
    </w:rPr>
  </w:style>
  <w:style w:type="paragraph" w:styleId="Ttulo8">
    <w:name w:val="heading 8"/>
    <w:basedOn w:val="Normal"/>
    <w:next w:val="Normal"/>
    <w:qFormat/>
    <w:rsid w:val="00B63D12"/>
    <w:pPr>
      <w:numPr>
        <w:ilvl w:val="7"/>
        <w:numId w:val="87"/>
      </w:numPr>
      <w:spacing w:before="40" w:after="20"/>
      <w:outlineLvl w:val="7"/>
    </w:pPr>
    <w:rPr>
      <w:i/>
      <w:iCs/>
      <w:color w:val="000080"/>
      <w:szCs w:val="24"/>
    </w:rPr>
  </w:style>
  <w:style w:type="paragraph" w:styleId="Ttulo9">
    <w:name w:val="heading 9"/>
    <w:basedOn w:val="Normal"/>
    <w:next w:val="Normal"/>
    <w:qFormat/>
    <w:rsid w:val="00B63D12"/>
    <w:pPr>
      <w:numPr>
        <w:ilvl w:val="8"/>
        <w:numId w:val="87"/>
      </w:numPr>
      <w:spacing w:before="20" w:after="20"/>
      <w:outlineLvl w:val="8"/>
    </w:pPr>
    <w:rPr>
      <w:rFonts w:cs="Arial"/>
      <w:i/>
      <w:color w:val="000080"/>
      <w:szCs w:val="24"/>
    </w:rPr>
  </w:style>
  <w:style w:type="character" w:default="1" w:styleId="Fuentedeprrafopredeter">
    <w:name w:val="Default Paragraph Font"/>
    <w:uiPriority w:val="1"/>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1">
    <w:name w:val="toc 1"/>
    <w:basedOn w:val="Normal"/>
    <w:next w:val="Normal"/>
    <w:autoRedefine/>
    <w:uiPriority w:val="39"/>
    <w:rsid w:val="005A0BB8"/>
    <w:pPr>
      <w:spacing w:before="120"/>
      <w:jc w:val="left"/>
    </w:pPr>
    <w:rPr>
      <w:rFonts w:ascii="Times New Roman" w:hAnsi="Times New Roman" w:cs="Times New Roman"/>
      <w:b/>
      <w:bCs/>
      <w:caps/>
      <w:sz w:val="20"/>
    </w:rPr>
  </w:style>
  <w:style w:type="paragraph" w:styleId="TDC2">
    <w:name w:val="toc 2"/>
    <w:basedOn w:val="Normal"/>
    <w:next w:val="Normal"/>
    <w:autoRedefine/>
    <w:uiPriority w:val="39"/>
    <w:rsid w:val="005A0BB8"/>
    <w:pPr>
      <w:spacing w:after="40"/>
      <w:ind w:left="238"/>
      <w:jc w:val="left"/>
    </w:pPr>
    <w:rPr>
      <w:rFonts w:ascii="Times New Roman" w:hAnsi="Times New Roman" w:cs="Times New Roman"/>
      <w:smallCaps/>
      <w:sz w:val="20"/>
    </w:rPr>
  </w:style>
  <w:style w:type="paragraph" w:styleId="TDC3">
    <w:name w:val="toc 3"/>
    <w:basedOn w:val="Normal"/>
    <w:next w:val="Normal"/>
    <w:autoRedefine/>
    <w:uiPriority w:val="39"/>
    <w:rsid w:val="005A0BB8"/>
    <w:pPr>
      <w:spacing w:before="40" w:after="40"/>
      <w:ind w:left="482"/>
      <w:jc w:val="left"/>
    </w:pPr>
    <w:rPr>
      <w:rFonts w:ascii="Times New Roman" w:hAnsi="Times New Roman" w:cs="Times New Roman"/>
      <w:i/>
      <w:iCs/>
      <w:sz w:val="20"/>
    </w:rPr>
  </w:style>
  <w:style w:type="paragraph" w:styleId="TDC4">
    <w:name w:val="toc 4"/>
    <w:basedOn w:val="Normal"/>
    <w:next w:val="Normal"/>
    <w:autoRedefine/>
    <w:uiPriority w:val="39"/>
    <w:rsid w:val="005A0BB8"/>
    <w:pPr>
      <w:spacing w:before="20" w:after="20"/>
      <w:ind w:left="720"/>
      <w:jc w:val="left"/>
    </w:pPr>
    <w:rPr>
      <w:rFonts w:ascii="Times New Roman" w:hAnsi="Times New Roman" w:cs="Times New Roman"/>
      <w:sz w:val="18"/>
      <w:szCs w:val="18"/>
    </w:rPr>
  </w:style>
  <w:style w:type="paragraph" w:styleId="TDC5">
    <w:name w:val="toc 5"/>
    <w:basedOn w:val="Normal"/>
    <w:next w:val="Normal"/>
    <w:autoRedefine/>
    <w:uiPriority w:val="39"/>
    <w:rsid w:val="005A0BB8"/>
    <w:pPr>
      <w:spacing w:before="0" w:after="0"/>
      <w:ind w:left="958"/>
      <w:jc w:val="left"/>
    </w:pPr>
    <w:rPr>
      <w:rFonts w:ascii="Times New Roman" w:hAnsi="Times New Roman" w:cs="Times New Roman"/>
      <w:sz w:val="18"/>
      <w:szCs w:val="18"/>
    </w:rPr>
  </w:style>
  <w:style w:type="paragraph" w:styleId="TDC6">
    <w:name w:val="toc 6"/>
    <w:basedOn w:val="Normal"/>
    <w:next w:val="Normal"/>
    <w:autoRedefine/>
    <w:uiPriority w:val="39"/>
    <w:rsid w:val="005A0BB8"/>
    <w:pPr>
      <w:spacing w:before="0" w:after="0"/>
      <w:ind w:left="1202"/>
      <w:jc w:val="left"/>
    </w:pPr>
    <w:rPr>
      <w:rFonts w:ascii="Times New Roman" w:hAnsi="Times New Roman" w:cs="Times New Roman"/>
      <w:sz w:val="18"/>
      <w:szCs w:val="18"/>
    </w:rPr>
  </w:style>
  <w:style w:type="paragraph" w:styleId="TDC7">
    <w:name w:val="toc 7"/>
    <w:basedOn w:val="Normal"/>
    <w:next w:val="Normal"/>
    <w:autoRedefine/>
    <w:uiPriority w:val="39"/>
    <w:rsid w:val="005A0BB8"/>
    <w:pPr>
      <w:spacing w:before="0" w:after="0"/>
      <w:ind w:left="1440"/>
      <w:jc w:val="left"/>
    </w:pPr>
    <w:rPr>
      <w:rFonts w:ascii="Times New Roman" w:hAnsi="Times New Roman" w:cs="Times New Roman"/>
      <w:sz w:val="18"/>
      <w:szCs w:val="18"/>
    </w:rPr>
  </w:style>
  <w:style w:type="paragraph" w:styleId="Mapadeldocumento">
    <w:name w:val="Document Map"/>
    <w:basedOn w:val="Normal"/>
    <w:semiHidden/>
    <w:rsid w:val="00432BFB"/>
    <w:pPr>
      <w:shd w:val="clear" w:color="auto" w:fill="000080"/>
    </w:pPr>
    <w:rPr>
      <w:rFonts w:ascii="Tahoma" w:hAnsi="Tahoma"/>
      <w:sz w:val="20"/>
    </w:rPr>
  </w:style>
  <w:style w:type="paragraph" w:styleId="TDC8">
    <w:name w:val="toc 8"/>
    <w:basedOn w:val="Normal"/>
    <w:next w:val="Normal"/>
    <w:autoRedefine/>
    <w:uiPriority w:val="39"/>
    <w:rsid w:val="005A0BB8"/>
    <w:pPr>
      <w:spacing w:before="0" w:after="0"/>
      <w:ind w:left="1678"/>
      <w:jc w:val="left"/>
    </w:pPr>
    <w:rPr>
      <w:rFonts w:ascii="Times New Roman" w:hAnsi="Times New Roman" w:cs="Times New Roman"/>
      <w:sz w:val="18"/>
      <w:szCs w:val="18"/>
    </w:rPr>
  </w:style>
  <w:style w:type="paragraph" w:styleId="TDC9">
    <w:name w:val="toc 9"/>
    <w:basedOn w:val="Normal"/>
    <w:next w:val="Normal"/>
    <w:autoRedefine/>
    <w:uiPriority w:val="39"/>
    <w:rsid w:val="005A0BB8"/>
    <w:pPr>
      <w:spacing w:before="0" w:after="0"/>
      <w:ind w:left="1922"/>
      <w:jc w:val="left"/>
    </w:pPr>
    <w:rPr>
      <w:rFonts w:ascii="Times New Roman" w:hAnsi="Times New Roman" w:cs="Times New Roman"/>
      <w:sz w:val="18"/>
      <w:szCs w:val="18"/>
    </w:rPr>
  </w:style>
  <w:style w:type="character" w:styleId="Hipervnculo">
    <w:name w:val="Hyperlink"/>
    <w:basedOn w:val="Fuentedeprrafopredeter"/>
    <w:uiPriority w:val="99"/>
    <w:rsid w:val="00174B68"/>
    <w:rPr>
      <w:color w:val="0000FF"/>
      <w:u w:val="single"/>
    </w:rPr>
  </w:style>
  <w:style w:type="paragraph" w:customStyle="1" w:styleId="Inciso">
    <w:name w:val="Inciso"/>
    <w:basedOn w:val="Normal"/>
    <w:rsid w:val="00432BFB"/>
    <w:pPr>
      <w:widowControl w:val="0"/>
      <w:pBdr>
        <w:bottom w:val="single" w:sz="6" w:space="1" w:color="auto"/>
        <w:between w:val="single" w:sz="6" w:space="1" w:color="auto"/>
      </w:pBdr>
      <w:autoSpaceDE w:val="0"/>
      <w:autoSpaceDN w:val="0"/>
      <w:adjustRightInd w:val="0"/>
      <w:spacing w:before="192" w:after="192"/>
    </w:pPr>
    <w:rPr>
      <w:rFonts w:ascii="Helvetica" w:hAnsi="Helvetica"/>
      <w:smallCaps/>
      <w:sz w:val="32"/>
      <w:szCs w:val="32"/>
      <w:lang w:val="en-GB"/>
    </w:rPr>
  </w:style>
  <w:style w:type="paragraph" w:styleId="Piedepgina">
    <w:name w:val="footer"/>
    <w:basedOn w:val="Normal"/>
    <w:link w:val="PiedepginaCar"/>
    <w:uiPriority w:val="99"/>
    <w:rsid w:val="00EF44C0"/>
    <w:pPr>
      <w:tabs>
        <w:tab w:val="center" w:pos="4419"/>
        <w:tab w:val="right" w:pos="8838"/>
      </w:tabs>
      <w:spacing w:before="40"/>
    </w:pPr>
    <w:rPr>
      <w:sz w:val="16"/>
      <w:szCs w:val="16"/>
    </w:rPr>
  </w:style>
  <w:style w:type="character" w:styleId="Nmerodepgina">
    <w:name w:val="page number"/>
    <w:basedOn w:val="Fuentedeprrafopredeter"/>
    <w:rsid w:val="00E167B6"/>
    <w:rPr>
      <w:rFonts w:ascii="Arial Rounded MT Bold" w:hAnsi="Arial Rounded MT Bold"/>
      <w:color w:val="000080"/>
      <w:sz w:val="20"/>
      <w:szCs w:val="20"/>
    </w:rPr>
  </w:style>
  <w:style w:type="paragraph" w:customStyle="1" w:styleId="Fuente">
    <w:name w:val="Fuente"/>
    <w:basedOn w:val="Normal"/>
    <w:next w:val="Normal"/>
    <w:autoRedefine/>
    <w:rsid w:val="007F1D92"/>
    <w:pPr>
      <w:ind w:left="57" w:firstLine="0"/>
      <w:jc w:val="left"/>
    </w:pPr>
    <w:rPr>
      <w:sz w:val="18"/>
      <w:szCs w:val="18"/>
    </w:rPr>
  </w:style>
  <w:style w:type="character" w:customStyle="1" w:styleId="CONTENIDO">
    <w:name w:val="CONTENIDO"/>
    <w:basedOn w:val="Fuentedeprrafopredeter"/>
    <w:rsid w:val="005B32A5"/>
    <w:rPr>
      <w:rFonts w:ascii="Times New Roman" w:hAnsi="Times New Roman"/>
      <w:smallCaps/>
      <w:color w:val="000080"/>
      <w:sz w:val="28"/>
      <w:szCs w:val="28"/>
    </w:rPr>
  </w:style>
  <w:style w:type="paragraph" w:customStyle="1" w:styleId="figura1cap10">
    <w:name w:val="figura 1 cap10"/>
    <w:basedOn w:val="Normal"/>
    <w:next w:val="Normal"/>
    <w:autoRedefine/>
    <w:rsid w:val="000404CA"/>
    <w:pPr>
      <w:numPr>
        <w:numId w:val="12"/>
      </w:numPr>
      <w:pBdr>
        <w:bottom w:val="single" w:sz="4" w:space="1" w:color="214F75"/>
      </w:pBdr>
      <w:spacing w:after="80"/>
      <w:ind w:left="0" w:firstLine="0"/>
      <w:jc w:val="left"/>
    </w:pPr>
    <w:rPr>
      <w:i/>
      <w:color w:val="214F75"/>
    </w:rPr>
  </w:style>
  <w:style w:type="paragraph" w:customStyle="1" w:styleId="Tabla1">
    <w:name w:val="Tabla 1"/>
    <w:basedOn w:val="Normal"/>
    <w:next w:val="Normal"/>
    <w:autoRedefine/>
    <w:rsid w:val="003916B5"/>
    <w:pPr>
      <w:numPr>
        <w:numId w:val="32"/>
      </w:numPr>
      <w:pBdr>
        <w:bottom w:val="single" w:sz="4" w:space="1" w:color="214F75"/>
      </w:pBdr>
      <w:jc w:val="left"/>
    </w:pPr>
    <w:rPr>
      <w:i/>
      <w:color w:val="214F75"/>
    </w:rPr>
  </w:style>
  <w:style w:type="paragraph" w:customStyle="1" w:styleId="Cuadro1cap4">
    <w:name w:val="Cuadro 1 cap4"/>
    <w:basedOn w:val="Normal"/>
    <w:next w:val="Normal"/>
    <w:autoRedefine/>
    <w:rsid w:val="00D3193F"/>
    <w:pPr>
      <w:numPr>
        <w:numId w:val="15"/>
      </w:numPr>
      <w:pBdr>
        <w:bottom w:val="single" w:sz="4" w:space="1" w:color="214F75"/>
      </w:pBdr>
      <w:ind w:left="0" w:firstLine="0"/>
      <w:jc w:val="left"/>
    </w:pPr>
    <w:rPr>
      <w:i/>
      <w:color w:val="214F75"/>
    </w:rPr>
  </w:style>
  <w:style w:type="paragraph" w:customStyle="1" w:styleId="figura1cap4">
    <w:name w:val="figura 1 cap4"/>
    <w:basedOn w:val="Normal"/>
    <w:next w:val="Normal"/>
    <w:autoRedefine/>
    <w:rsid w:val="00B327F5"/>
    <w:pPr>
      <w:numPr>
        <w:numId w:val="6"/>
      </w:numPr>
      <w:pBdr>
        <w:bottom w:val="single" w:sz="4" w:space="1" w:color="214F75"/>
      </w:pBdr>
      <w:ind w:left="0" w:firstLine="0"/>
      <w:jc w:val="left"/>
    </w:pPr>
    <w:rPr>
      <w:i/>
      <w:color w:val="214F75"/>
    </w:rPr>
  </w:style>
  <w:style w:type="paragraph" w:customStyle="1" w:styleId="Tabla1cap2">
    <w:name w:val="Tabla 1 cap2"/>
    <w:basedOn w:val="Normal"/>
    <w:next w:val="Normal"/>
    <w:autoRedefine/>
    <w:rsid w:val="002C1057"/>
    <w:pPr>
      <w:numPr>
        <w:numId w:val="1"/>
      </w:numPr>
      <w:pBdr>
        <w:bottom w:val="single" w:sz="4" w:space="1" w:color="214F75"/>
      </w:pBdr>
      <w:jc w:val="left"/>
    </w:pPr>
    <w:rPr>
      <w:i/>
      <w:color w:val="214F75"/>
      <w:sz w:val="20"/>
    </w:rPr>
  </w:style>
  <w:style w:type="paragraph" w:customStyle="1" w:styleId="Cuadro1">
    <w:name w:val="Cuadro 1"/>
    <w:basedOn w:val="Normal"/>
    <w:next w:val="Normal"/>
    <w:autoRedefine/>
    <w:rsid w:val="00D3193F"/>
    <w:pPr>
      <w:numPr>
        <w:numId w:val="31"/>
      </w:numPr>
      <w:pBdr>
        <w:bottom w:val="single" w:sz="4" w:space="1" w:color="214F75"/>
      </w:pBdr>
      <w:jc w:val="left"/>
    </w:pPr>
    <w:rPr>
      <w:i/>
      <w:color w:val="214F75"/>
      <w:lang w:val="en-US"/>
    </w:rPr>
  </w:style>
  <w:style w:type="paragraph" w:customStyle="1" w:styleId="IGH">
    <w:name w:val="IGH"/>
    <w:basedOn w:val="Normal"/>
    <w:next w:val="Normal"/>
    <w:link w:val="IGHCarCar"/>
    <w:rsid w:val="00B63D12"/>
    <w:pPr>
      <w:ind w:firstLine="0"/>
      <w:jc w:val="left"/>
    </w:pPr>
    <w:rPr>
      <w:rFonts w:ascii="Arial Rounded MT Bold" w:hAnsi="Arial Rounded MT Bold"/>
      <w:color w:val="214F75"/>
      <w:sz w:val="20"/>
      <w:u w:val="single"/>
      <w:lang w:val="pt-BR"/>
    </w:rPr>
  </w:style>
  <w:style w:type="character" w:customStyle="1" w:styleId="IGHCarCar">
    <w:name w:val="IGH Car Car"/>
    <w:basedOn w:val="Fuentedeprrafopredeter"/>
    <w:link w:val="IGH"/>
    <w:rsid w:val="00B63D12"/>
    <w:rPr>
      <w:rFonts w:ascii="Arial Rounded MT Bold" w:eastAsia="Batang" w:hAnsi="Arial Rounded MT Bold" w:cs="Tahoma"/>
      <w:color w:val="214F75"/>
      <w:u w:val="single"/>
      <w:lang w:val="pt-BR" w:eastAsia="es-ES" w:bidi="ar-SA"/>
    </w:rPr>
  </w:style>
  <w:style w:type="paragraph" w:customStyle="1" w:styleId="Tabla1cap14">
    <w:name w:val="Tabla 1 cap14"/>
    <w:basedOn w:val="Normal"/>
    <w:autoRedefine/>
    <w:rsid w:val="00D72C1F"/>
    <w:pPr>
      <w:numPr>
        <w:numId w:val="60"/>
      </w:numPr>
      <w:pBdr>
        <w:bottom w:val="single" w:sz="4" w:space="1" w:color="214F75"/>
      </w:pBdr>
      <w:tabs>
        <w:tab w:val="left" w:pos="1217"/>
      </w:tabs>
      <w:jc w:val="left"/>
    </w:pPr>
    <w:rPr>
      <w:i/>
      <w:color w:val="214F75"/>
      <w:lang w:val="es-ES"/>
    </w:rPr>
  </w:style>
  <w:style w:type="paragraph" w:customStyle="1" w:styleId="figura1cap5">
    <w:name w:val="figura 1 cap5"/>
    <w:basedOn w:val="Normal"/>
    <w:next w:val="Normal"/>
    <w:autoRedefine/>
    <w:rsid w:val="00B327F5"/>
    <w:pPr>
      <w:numPr>
        <w:numId w:val="7"/>
      </w:numPr>
      <w:pBdr>
        <w:bottom w:val="single" w:sz="4" w:space="1" w:color="214F75"/>
      </w:pBdr>
      <w:ind w:left="0" w:firstLine="0"/>
      <w:jc w:val="left"/>
    </w:pPr>
    <w:rPr>
      <w:i/>
      <w:color w:val="214F75"/>
    </w:rPr>
  </w:style>
  <w:style w:type="paragraph" w:customStyle="1" w:styleId="figura1cap6">
    <w:name w:val="figura 1 cap6"/>
    <w:basedOn w:val="Normal"/>
    <w:next w:val="Normal"/>
    <w:autoRedefine/>
    <w:rsid w:val="00B327F5"/>
    <w:pPr>
      <w:numPr>
        <w:numId w:val="8"/>
      </w:numPr>
      <w:pBdr>
        <w:bottom w:val="single" w:sz="4" w:space="1" w:color="214F75"/>
      </w:pBdr>
      <w:ind w:left="0" w:firstLine="0"/>
      <w:jc w:val="left"/>
    </w:pPr>
    <w:rPr>
      <w:i/>
      <w:color w:val="214F75"/>
    </w:rPr>
  </w:style>
  <w:style w:type="paragraph" w:customStyle="1" w:styleId="Tabla15cap1">
    <w:name w:val="Tabla 15 cap 1"/>
    <w:basedOn w:val="Normal"/>
    <w:autoRedefine/>
    <w:rsid w:val="00A60C5C"/>
    <w:pPr>
      <w:numPr>
        <w:numId w:val="61"/>
      </w:numPr>
      <w:pBdr>
        <w:bottom w:val="single" w:sz="4" w:space="1" w:color="214F75"/>
      </w:pBdr>
      <w:tabs>
        <w:tab w:val="left" w:pos="1217"/>
      </w:tabs>
      <w:jc w:val="left"/>
    </w:pPr>
    <w:rPr>
      <w:i/>
      <w:color w:val="214F75"/>
      <w:lang w:val="es-ES"/>
    </w:rPr>
  </w:style>
  <w:style w:type="paragraph" w:styleId="Textoindependiente3">
    <w:name w:val="Body Text 3"/>
    <w:basedOn w:val="Normal"/>
    <w:rsid w:val="00801EF5"/>
    <w:pPr>
      <w:spacing w:after="0"/>
      <w:jc w:val="center"/>
    </w:pPr>
    <w:rPr>
      <w:rFonts w:ascii="Bookman Old Style" w:eastAsia="Times New Roman" w:hAnsi="Bookman Old Style"/>
      <w:b/>
      <w:color w:val="000080"/>
      <w:sz w:val="12"/>
      <w:lang w:val="es-ES_tradnl"/>
    </w:rPr>
  </w:style>
  <w:style w:type="paragraph" w:styleId="Textoindependiente2">
    <w:name w:val="Body Text 2"/>
    <w:basedOn w:val="Normal"/>
    <w:rsid w:val="00801EF5"/>
    <w:pPr>
      <w:spacing w:after="0"/>
      <w:jc w:val="left"/>
    </w:pPr>
    <w:rPr>
      <w:rFonts w:ascii="Bookman Old Style" w:eastAsia="Times New Roman" w:hAnsi="Bookman Old Style"/>
      <w:sz w:val="12"/>
      <w:lang w:val="es-ES_tradnl"/>
    </w:rPr>
  </w:style>
  <w:style w:type="paragraph" w:styleId="Textoindependiente">
    <w:name w:val="Body Text"/>
    <w:basedOn w:val="Normal"/>
    <w:rsid w:val="0056400D"/>
  </w:style>
  <w:style w:type="paragraph" w:customStyle="1" w:styleId="figura1cap1">
    <w:name w:val="figura 1 cap1"/>
    <w:basedOn w:val="Normal"/>
    <w:next w:val="Normal"/>
    <w:autoRedefine/>
    <w:rsid w:val="00B327F5"/>
    <w:pPr>
      <w:numPr>
        <w:numId w:val="4"/>
      </w:numPr>
      <w:pBdr>
        <w:bottom w:val="single" w:sz="4" w:space="1" w:color="214F75"/>
      </w:pBdr>
      <w:jc w:val="left"/>
    </w:pPr>
    <w:rPr>
      <w:i/>
      <w:color w:val="214F75"/>
    </w:rPr>
  </w:style>
  <w:style w:type="paragraph" w:customStyle="1" w:styleId="figura1cap2">
    <w:name w:val="figura 1 cap2"/>
    <w:basedOn w:val="Normal"/>
    <w:next w:val="Normal"/>
    <w:autoRedefine/>
    <w:rsid w:val="00B327F5"/>
    <w:pPr>
      <w:numPr>
        <w:numId w:val="2"/>
      </w:numPr>
      <w:pBdr>
        <w:bottom w:val="single" w:sz="4" w:space="1" w:color="214F75"/>
      </w:pBdr>
      <w:jc w:val="left"/>
    </w:pPr>
    <w:rPr>
      <w:i/>
      <w:color w:val="214F75"/>
    </w:rPr>
  </w:style>
  <w:style w:type="paragraph" w:customStyle="1" w:styleId="figura1cap3">
    <w:name w:val="figura1 cap3"/>
    <w:basedOn w:val="Normal"/>
    <w:next w:val="Normal"/>
    <w:autoRedefine/>
    <w:rsid w:val="00B327F5"/>
    <w:pPr>
      <w:numPr>
        <w:numId w:val="5"/>
      </w:numPr>
      <w:pBdr>
        <w:bottom w:val="single" w:sz="4" w:space="1" w:color="214F75"/>
      </w:pBdr>
      <w:ind w:left="0" w:firstLine="0"/>
      <w:jc w:val="left"/>
    </w:pPr>
    <w:rPr>
      <w:i/>
      <w:color w:val="214F75"/>
    </w:rPr>
  </w:style>
  <w:style w:type="paragraph" w:customStyle="1" w:styleId="figura1cap7">
    <w:name w:val="figura 1 cap7"/>
    <w:basedOn w:val="Normal"/>
    <w:next w:val="Normal"/>
    <w:autoRedefine/>
    <w:rsid w:val="00B327F5"/>
    <w:pPr>
      <w:numPr>
        <w:numId w:val="9"/>
      </w:numPr>
      <w:pBdr>
        <w:bottom w:val="single" w:sz="4" w:space="1" w:color="214F75"/>
      </w:pBdr>
      <w:ind w:left="0" w:firstLine="0"/>
      <w:jc w:val="left"/>
    </w:pPr>
    <w:rPr>
      <w:i/>
      <w:color w:val="214F75"/>
    </w:rPr>
  </w:style>
  <w:style w:type="paragraph" w:customStyle="1" w:styleId="figura1cap8">
    <w:name w:val="figura 1 cap8"/>
    <w:basedOn w:val="Normal"/>
    <w:next w:val="Normal"/>
    <w:autoRedefine/>
    <w:rsid w:val="00B327F5"/>
    <w:pPr>
      <w:numPr>
        <w:numId w:val="10"/>
      </w:numPr>
      <w:pBdr>
        <w:bottom w:val="single" w:sz="4" w:space="1" w:color="214F75"/>
      </w:pBdr>
      <w:ind w:left="0" w:firstLine="0"/>
      <w:jc w:val="left"/>
    </w:pPr>
    <w:rPr>
      <w:i/>
      <w:color w:val="214F75"/>
    </w:rPr>
  </w:style>
  <w:style w:type="paragraph" w:styleId="Textocomentario">
    <w:name w:val="annotation text"/>
    <w:basedOn w:val="Normal"/>
    <w:semiHidden/>
    <w:rsid w:val="00CB1DED"/>
    <w:rPr>
      <w:sz w:val="20"/>
    </w:rPr>
  </w:style>
  <w:style w:type="paragraph" w:styleId="Asuntodelcomentario">
    <w:name w:val="annotation subject"/>
    <w:basedOn w:val="Textocomentario"/>
    <w:next w:val="Textocomentario"/>
    <w:semiHidden/>
    <w:rsid w:val="00CB1DED"/>
    <w:rPr>
      <w:b/>
      <w:bCs/>
    </w:rPr>
  </w:style>
  <w:style w:type="paragraph" w:customStyle="1" w:styleId="figura1cap9">
    <w:name w:val="figura1 cap9"/>
    <w:basedOn w:val="Normal"/>
    <w:next w:val="Normal"/>
    <w:autoRedefine/>
    <w:rsid w:val="00B327F5"/>
    <w:pPr>
      <w:numPr>
        <w:numId w:val="11"/>
      </w:numPr>
      <w:pBdr>
        <w:bottom w:val="single" w:sz="4" w:space="1" w:color="214F75"/>
      </w:pBdr>
      <w:ind w:left="0" w:firstLine="0"/>
      <w:jc w:val="left"/>
    </w:pPr>
    <w:rPr>
      <w:i/>
      <w:color w:val="214F75"/>
    </w:rPr>
  </w:style>
  <w:style w:type="paragraph" w:customStyle="1" w:styleId="cuadro1cap1">
    <w:name w:val="cuadro 1 cap1"/>
    <w:basedOn w:val="Normal"/>
    <w:next w:val="Normal"/>
    <w:autoRedefine/>
    <w:rsid w:val="00D3193F"/>
    <w:pPr>
      <w:numPr>
        <w:numId w:val="3"/>
      </w:numPr>
      <w:pBdr>
        <w:bottom w:val="single" w:sz="4" w:space="1" w:color="214F75"/>
      </w:pBdr>
      <w:ind w:left="357" w:hanging="357"/>
      <w:jc w:val="left"/>
    </w:pPr>
    <w:rPr>
      <w:i/>
      <w:color w:val="214F75"/>
    </w:rPr>
  </w:style>
  <w:style w:type="paragraph" w:customStyle="1" w:styleId="cuadro1cap2">
    <w:name w:val="cuadro 1 cap2"/>
    <w:basedOn w:val="Normal"/>
    <w:next w:val="Normal"/>
    <w:autoRedefine/>
    <w:rsid w:val="00D3193F"/>
    <w:pPr>
      <w:numPr>
        <w:numId w:val="13"/>
      </w:numPr>
      <w:pBdr>
        <w:bottom w:val="single" w:sz="4" w:space="1" w:color="214F75"/>
      </w:pBdr>
      <w:ind w:left="357" w:hanging="357"/>
      <w:jc w:val="left"/>
    </w:pPr>
    <w:rPr>
      <w:i/>
      <w:color w:val="214F75"/>
      <w:lang w:val="en-US"/>
    </w:rPr>
  </w:style>
  <w:style w:type="paragraph" w:customStyle="1" w:styleId="Cuadro1cap3">
    <w:name w:val="Cuadro 1 cap3"/>
    <w:basedOn w:val="Normal"/>
    <w:autoRedefine/>
    <w:rsid w:val="00D3193F"/>
    <w:pPr>
      <w:numPr>
        <w:numId w:val="14"/>
      </w:numPr>
      <w:pBdr>
        <w:bottom w:val="single" w:sz="4" w:space="1" w:color="214F75"/>
      </w:pBdr>
      <w:ind w:left="0" w:firstLine="0"/>
      <w:jc w:val="left"/>
    </w:pPr>
    <w:rPr>
      <w:i/>
      <w:color w:val="214F75"/>
    </w:rPr>
  </w:style>
  <w:style w:type="paragraph" w:customStyle="1" w:styleId="cuadro1cap5">
    <w:name w:val="cuadro 1 cap5"/>
    <w:basedOn w:val="Normal"/>
    <w:next w:val="Normal"/>
    <w:autoRedefine/>
    <w:rsid w:val="00D3193F"/>
    <w:pPr>
      <w:numPr>
        <w:numId w:val="16"/>
      </w:numPr>
      <w:pBdr>
        <w:bottom w:val="single" w:sz="4" w:space="1" w:color="214F75"/>
      </w:pBdr>
      <w:ind w:left="0" w:firstLine="0"/>
      <w:jc w:val="left"/>
    </w:pPr>
    <w:rPr>
      <w:i/>
      <w:color w:val="214F75"/>
    </w:rPr>
  </w:style>
  <w:style w:type="paragraph" w:customStyle="1" w:styleId="cuadro1cap6">
    <w:name w:val="cuadro 1 cap6"/>
    <w:basedOn w:val="Cuadro1"/>
    <w:next w:val="Normal"/>
    <w:autoRedefine/>
    <w:rsid w:val="00997215"/>
    <w:pPr>
      <w:numPr>
        <w:numId w:val="17"/>
      </w:numPr>
    </w:pPr>
  </w:style>
  <w:style w:type="paragraph" w:customStyle="1" w:styleId="cuadro1cap7">
    <w:name w:val="cuadro 1 cap7"/>
    <w:basedOn w:val="Normal"/>
    <w:next w:val="Normal"/>
    <w:autoRedefine/>
    <w:rsid w:val="00D3193F"/>
    <w:pPr>
      <w:numPr>
        <w:numId w:val="18"/>
      </w:numPr>
      <w:pBdr>
        <w:bottom w:val="single" w:sz="4" w:space="1" w:color="214F75"/>
      </w:pBdr>
      <w:ind w:left="0" w:firstLine="0"/>
      <w:jc w:val="left"/>
    </w:pPr>
    <w:rPr>
      <w:i/>
      <w:color w:val="214F75"/>
    </w:rPr>
  </w:style>
  <w:style w:type="paragraph" w:customStyle="1" w:styleId="cuadro1cap8">
    <w:name w:val="cuadro 1 cap8"/>
    <w:basedOn w:val="Normal"/>
    <w:next w:val="Normal"/>
    <w:autoRedefine/>
    <w:rsid w:val="00D3193F"/>
    <w:pPr>
      <w:numPr>
        <w:numId w:val="19"/>
      </w:numPr>
      <w:pBdr>
        <w:bottom w:val="single" w:sz="4" w:space="1" w:color="214F75"/>
      </w:pBdr>
      <w:ind w:left="0" w:firstLine="0"/>
      <w:jc w:val="left"/>
    </w:pPr>
    <w:rPr>
      <w:i/>
      <w:color w:val="214F75"/>
    </w:rPr>
  </w:style>
  <w:style w:type="paragraph" w:customStyle="1" w:styleId="Figura1cap11">
    <w:name w:val="Figura1 cap11"/>
    <w:basedOn w:val="Normal"/>
    <w:autoRedefine/>
    <w:rsid w:val="009D5164"/>
    <w:pPr>
      <w:numPr>
        <w:numId w:val="62"/>
      </w:numPr>
      <w:pBdr>
        <w:bottom w:val="single" w:sz="4" w:space="1" w:color="214F75"/>
      </w:pBdr>
      <w:tabs>
        <w:tab w:val="left" w:pos="1217"/>
      </w:tabs>
      <w:jc w:val="left"/>
    </w:pPr>
    <w:rPr>
      <w:i/>
      <w:color w:val="214F75"/>
      <w:lang w:val="en-US"/>
    </w:rPr>
  </w:style>
  <w:style w:type="paragraph" w:customStyle="1" w:styleId="Cuadro1cap9">
    <w:name w:val="Cuadro 1 cap9"/>
    <w:basedOn w:val="Normal"/>
    <w:next w:val="Normal"/>
    <w:autoRedefine/>
    <w:rsid w:val="00D3193F"/>
    <w:pPr>
      <w:numPr>
        <w:numId w:val="20"/>
      </w:numPr>
      <w:pBdr>
        <w:bottom w:val="single" w:sz="4" w:space="1" w:color="214F75"/>
      </w:pBdr>
      <w:ind w:left="0" w:firstLine="0"/>
      <w:jc w:val="left"/>
    </w:pPr>
    <w:rPr>
      <w:i/>
      <w:color w:val="214F75"/>
    </w:rPr>
  </w:style>
  <w:style w:type="paragraph" w:customStyle="1" w:styleId="Cuadro1cap10">
    <w:name w:val="Cuadro 1 cap10"/>
    <w:basedOn w:val="Normal"/>
    <w:next w:val="Normal"/>
    <w:autoRedefine/>
    <w:rsid w:val="00D3193F"/>
    <w:pPr>
      <w:numPr>
        <w:numId w:val="21"/>
      </w:numPr>
      <w:pBdr>
        <w:bottom w:val="single" w:sz="4" w:space="1" w:color="214F75"/>
      </w:pBdr>
      <w:ind w:left="0" w:firstLine="0"/>
      <w:jc w:val="left"/>
    </w:pPr>
    <w:rPr>
      <w:i/>
      <w:color w:val="214F75"/>
      <w:lang w:val="en-US"/>
    </w:rPr>
  </w:style>
  <w:style w:type="paragraph" w:styleId="Encabezado">
    <w:name w:val="header"/>
    <w:basedOn w:val="Normal"/>
    <w:rsid w:val="00114869"/>
    <w:pPr>
      <w:tabs>
        <w:tab w:val="center" w:pos="4419"/>
        <w:tab w:val="right" w:pos="8838"/>
      </w:tabs>
    </w:pPr>
  </w:style>
  <w:style w:type="paragraph" w:customStyle="1" w:styleId="tabla1cap1">
    <w:name w:val="tabla 1 cap1"/>
    <w:basedOn w:val="Normal"/>
    <w:next w:val="Normal"/>
    <w:autoRedefine/>
    <w:rsid w:val="003916B5"/>
    <w:pPr>
      <w:numPr>
        <w:numId w:val="22"/>
      </w:numPr>
      <w:pBdr>
        <w:bottom w:val="single" w:sz="4" w:space="1" w:color="214F75"/>
      </w:pBdr>
      <w:jc w:val="left"/>
    </w:pPr>
    <w:rPr>
      <w:i/>
      <w:color w:val="214F75"/>
    </w:rPr>
  </w:style>
  <w:style w:type="paragraph" w:customStyle="1" w:styleId="Tabla1cap3">
    <w:name w:val="Tabla 1 cap3"/>
    <w:basedOn w:val="Normal"/>
    <w:next w:val="Normal"/>
    <w:autoRedefine/>
    <w:rsid w:val="002C1057"/>
    <w:pPr>
      <w:numPr>
        <w:numId w:val="23"/>
      </w:numPr>
      <w:pBdr>
        <w:bottom w:val="single" w:sz="4" w:space="1" w:color="214F75"/>
      </w:pBdr>
      <w:jc w:val="left"/>
    </w:pPr>
    <w:rPr>
      <w:i/>
      <w:color w:val="214F75"/>
      <w:sz w:val="20"/>
    </w:rPr>
  </w:style>
  <w:style w:type="paragraph" w:customStyle="1" w:styleId="Tabla1cap4">
    <w:name w:val="Tabla 1 cap4"/>
    <w:basedOn w:val="Normal"/>
    <w:next w:val="Normal"/>
    <w:autoRedefine/>
    <w:rsid w:val="003916B5"/>
    <w:pPr>
      <w:numPr>
        <w:numId w:val="24"/>
      </w:numPr>
      <w:pBdr>
        <w:bottom w:val="single" w:sz="4" w:space="1" w:color="214F75"/>
      </w:pBdr>
      <w:ind w:left="0" w:firstLine="0"/>
      <w:jc w:val="left"/>
    </w:pPr>
    <w:rPr>
      <w:i/>
      <w:color w:val="214F75"/>
    </w:rPr>
  </w:style>
  <w:style w:type="paragraph" w:customStyle="1" w:styleId="Tabla1cap5">
    <w:name w:val="Tabla 1 cap5"/>
    <w:basedOn w:val="Normal"/>
    <w:next w:val="Normal"/>
    <w:autoRedefine/>
    <w:rsid w:val="003916B5"/>
    <w:pPr>
      <w:numPr>
        <w:numId w:val="25"/>
      </w:numPr>
      <w:pBdr>
        <w:bottom w:val="single" w:sz="4" w:space="1" w:color="214F75"/>
      </w:pBdr>
      <w:ind w:left="0" w:firstLine="0"/>
      <w:jc w:val="left"/>
    </w:pPr>
    <w:rPr>
      <w:i/>
      <w:color w:val="214F75"/>
    </w:rPr>
  </w:style>
  <w:style w:type="paragraph" w:customStyle="1" w:styleId="Tabla1cap6">
    <w:name w:val="Tabla 1 cap6"/>
    <w:basedOn w:val="Normal"/>
    <w:next w:val="Normal"/>
    <w:autoRedefine/>
    <w:rsid w:val="003916B5"/>
    <w:pPr>
      <w:numPr>
        <w:numId w:val="26"/>
      </w:numPr>
      <w:pBdr>
        <w:bottom w:val="single" w:sz="4" w:space="1" w:color="214F75"/>
      </w:pBdr>
      <w:ind w:left="0" w:firstLine="0"/>
      <w:jc w:val="left"/>
    </w:pPr>
    <w:rPr>
      <w:i/>
      <w:color w:val="214F75"/>
    </w:rPr>
  </w:style>
  <w:style w:type="paragraph" w:customStyle="1" w:styleId="Tabla1cap7">
    <w:name w:val="Tabla 1 cap7"/>
    <w:basedOn w:val="Normal"/>
    <w:next w:val="Normal"/>
    <w:autoRedefine/>
    <w:rsid w:val="003916B5"/>
    <w:pPr>
      <w:numPr>
        <w:numId w:val="27"/>
      </w:numPr>
      <w:pBdr>
        <w:bottom w:val="single" w:sz="4" w:space="1" w:color="214F75"/>
      </w:pBdr>
      <w:ind w:left="0" w:firstLine="0"/>
      <w:jc w:val="left"/>
    </w:pPr>
    <w:rPr>
      <w:i/>
      <w:color w:val="214F75"/>
    </w:rPr>
  </w:style>
  <w:style w:type="paragraph" w:customStyle="1" w:styleId="tabla1cap8">
    <w:name w:val="tabla 1 cap8"/>
    <w:basedOn w:val="Normal"/>
    <w:next w:val="Normal"/>
    <w:autoRedefine/>
    <w:rsid w:val="003916B5"/>
    <w:pPr>
      <w:numPr>
        <w:numId w:val="28"/>
      </w:numPr>
      <w:pBdr>
        <w:bottom w:val="single" w:sz="4" w:space="1" w:color="214F75"/>
      </w:pBdr>
      <w:jc w:val="left"/>
    </w:pPr>
    <w:rPr>
      <w:i/>
      <w:color w:val="214F75"/>
    </w:rPr>
  </w:style>
  <w:style w:type="paragraph" w:customStyle="1" w:styleId="Tabla1cap9">
    <w:name w:val="Tabla 1 cap9"/>
    <w:basedOn w:val="Normal"/>
    <w:next w:val="Normal"/>
    <w:autoRedefine/>
    <w:rsid w:val="00023A36"/>
    <w:pPr>
      <w:numPr>
        <w:numId w:val="29"/>
      </w:numPr>
      <w:pBdr>
        <w:bottom w:val="single" w:sz="4" w:space="1" w:color="214F75"/>
      </w:pBdr>
      <w:ind w:left="0" w:firstLine="0"/>
      <w:jc w:val="left"/>
    </w:pPr>
    <w:rPr>
      <w:i/>
      <w:color w:val="214F75"/>
    </w:rPr>
  </w:style>
  <w:style w:type="paragraph" w:customStyle="1" w:styleId="Tabla1cap10">
    <w:name w:val="Tabla 1 cap10"/>
    <w:basedOn w:val="Normal"/>
    <w:next w:val="Normal"/>
    <w:autoRedefine/>
    <w:rsid w:val="003916B5"/>
    <w:pPr>
      <w:numPr>
        <w:numId w:val="30"/>
      </w:numPr>
      <w:pBdr>
        <w:bottom w:val="single" w:sz="4" w:space="1" w:color="214F75"/>
      </w:pBdr>
      <w:ind w:left="0" w:firstLine="0"/>
      <w:jc w:val="left"/>
    </w:pPr>
    <w:rPr>
      <w:i/>
      <w:color w:val="214F75"/>
    </w:rPr>
  </w:style>
  <w:style w:type="paragraph" w:customStyle="1" w:styleId="Figura1">
    <w:name w:val="Figura 1"/>
    <w:basedOn w:val="Normal"/>
    <w:next w:val="Normal"/>
    <w:autoRedefine/>
    <w:rsid w:val="00B327F5"/>
    <w:pPr>
      <w:numPr>
        <w:numId w:val="33"/>
      </w:numPr>
      <w:pBdr>
        <w:bottom w:val="single" w:sz="4" w:space="1" w:color="214F75"/>
      </w:pBdr>
      <w:jc w:val="left"/>
    </w:pPr>
    <w:rPr>
      <w:i/>
      <w:color w:val="214F75"/>
    </w:rPr>
  </w:style>
  <w:style w:type="paragraph" w:customStyle="1" w:styleId="Fotografia1">
    <w:name w:val="Fotografia 1"/>
    <w:basedOn w:val="Normal"/>
    <w:next w:val="Normal"/>
    <w:autoRedefine/>
    <w:rsid w:val="00D743F5"/>
    <w:pPr>
      <w:numPr>
        <w:numId w:val="34"/>
      </w:numPr>
      <w:pBdr>
        <w:bottom w:val="single" w:sz="4" w:space="1" w:color="214F75"/>
      </w:pBdr>
      <w:jc w:val="left"/>
    </w:pPr>
    <w:rPr>
      <w:i/>
      <w:color w:val="214F75"/>
    </w:rPr>
  </w:style>
  <w:style w:type="paragraph" w:customStyle="1" w:styleId="Grafica1">
    <w:name w:val="Grafica 1"/>
    <w:basedOn w:val="Normal"/>
    <w:next w:val="Normal"/>
    <w:autoRedefine/>
    <w:rsid w:val="000404CA"/>
    <w:pPr>
      <w:numPr>
        <w:numId w:val="35"/>
      </w:numPr>
      <w:pBdr>
        <w:bottom w:val="single" w:sz="4" w:space="1" w:color="214F75"/>
      </w:pBdr>
      <w:ind w:left="0" w:firstLine="0"/>
      <w:jc w:val="left"/>
    </w:pPr>
    <w:rPr>
      <w:i/>
      <w:color w:val="214F75"/>
    </w:rPr>
  </w:style>
  <w:style w:type="paragraph" w:customStyle="1" w:styleId="Fotografia1cap1">
    <w:name w:val="Fotografia 1 cap1"/>
    <w:basedOn w:val="Normal"/>
    <w:autoRedefine/>
    <w:rsid w:val="00D743F5"/>
    <w:pPr>
      <w:numPr>
        <w:numId w:val="36"/>
      </w:numPr>
      <w:pBdr>
        <w:bottom w:val="single" w:sz="4" w:space="1" w:color="214F75"/>
      </w:pBdr>
      <w:jc w:val="left"/>
    </w:pPr>
    <w:rPr>
      <w:i/>
      <w:color w:val="214F75"/>
    </w:rPr>
  </w:style>
  <w:style w:type="paragraph" w:customStyle="1" w:styleId="Fotografia1cap2">
    <w:name w:val="Fotografia 1 cap2"/>
    <w:basedOn w:val="Normal"/>
    <w:next w:val="Normal"/>
    <w:autoRedefine/>
    <w:rsid w:val="00D743F5"/>
    <w:pPr>
      <w:numPr>
        <w:numId w:val="37"/>
      </w:numPr>
      <w:pBdr>
        <w:bottom w:val="single" w:sz="4" w:space="1" w:color="214F75"/>
      </w:pBdr>
      <w:jc w:val="left"/>
    </w:pPr>
    <w:rPr>
      <w:i/>
      <w:color w:val="214F75"/>
    </w:rPr>
  </w:style>
  <w:style w:type="paragraph" w:customStyle="1" w:styleId="Fotografia1cap3">
    <w:name w:val="Fotografia 1 cap3"/>
    <w:basedOn w:val="Normal"/>
    <w:next w:val="Normal"/>
    <w:autoRedefine/>
    <w:rsid w:val="00D743F5"/>
    <w:pPr>
      <w:numPr>
        <w:numId w:val="38"/>
      </w:numPr>
      <w:pBdr>
        <w:bottom w:val="single" w:sz="4" w:space="1" w:color="214F75"/>
      </w:pBdr>
      <w:jc w:val="left"/>
    </w:pPr>
    <w:rPr>
      <w:i/>
      <w:color w:val="214F75"/>
    </w:rPr>
  </w:style>
  <w:style w:type="paragraph" w:customStyle="1" w:styleId="Fotografia1cap4">
    <w:name w:val="Fotografia 1 cap4"/>
    <w:basedOn w:val="Normal"/>
    <w:next w:val="Normal"/>
    <w:autoRedefine/>
    <w:rsid w:val="00D743F5"/>
    <w:pPr>
      <w:numPr>
        <w:numId w:val="39"/>
      </w:numPr>
      <w:pBdr>
        <w:bottom w:val="single" w:sz="4" w:space="1" w:color="214F75"/>
      </w:pBdr>
      <w:jc w:val="left"/>
    </w:pPr>
    <w:rPr>
      <w:i/>
      <w:color w:val="214F75"/>
      <w:lang w:val="en-US"/>
    </w:rPr>
  </w:style>
  <w:style w:type="paragraph" w:customStyle="1" w:styleId="Fotografia1cap5">
    <w:name w:val="Fotografia 1 cap5"/>
    <w:basedOn w:val="Normal"/>
    <w:next w:val="Normal"/>
    <w:autoRedefine/>
    <w:rsid w:val="00D743F5"/>
    <w:pPr>
      <w:numPr>
        <w:numId w:val="40"/>
      </w:numPr>
      <w:pBdr>
        <w:bottom w:val="single" w:sz="4" w:space="1" w:color="214F75"/>
      </w:pBdr>
      <w:jc w:val="left"/>
    </w:pPr>
    <w:rPr>
      <w:i/>
      <w:color w:val="214F75"/>
    </w:rPr>
  </w:style>
  <w:style w:type="paragraph" w:customStyle="1" w:styleId="Fotografia1cap6">
    <w:name w:val="Fotografia 1 cap6"/>
    <w:basedOn w:val="Normal"/>
    <w:next w:val="Normal"/>
    <w:autoRedefine/>
    <w:rsid w:val="00D743F5"/>
    <w:pPr>
      <w:numPr>
        <w:numId w:val="41"/>
      </w:numPr>
      <w:pBdr>
        <w:bottom w:val="single" w:sz="4" w:space="1" w:color="214F75"/>
      </w:pBdr>
      <w:ind w:left="0" w:firstLine="0"/>
      <w:jc w:val="left"/>
    </w:pPr>
    <w:rPr>
      <w:i/>
      <w:color w:val="214F75"/>
    </w:rPr>
  </w:style>
  <w:style w:type="paragraph" w:customStyle="1" w:styleId="Fotografa1cap7">
    <w:name w:val="Fotografía 1 cap7"/>
    <w:basedOn w:val="Normal"/>
    <w:next w:val="Normal"/>
    <w:autoRedefine/>
    <w:rsid w:val="00D743F5"/>
    <w:pPr>
      <w:numPr>
        <w:numId w:val="42"/>
      </w:numPr>
      <w:pBdr>
        <w:bottom w:val="single" w:sz="4" w:space="1" w:color="214F75"/>
      </w:pBdr>
      <w:jc w:val="left"/>
    </w:pPr>
    <w:rPr>
      <w:i/>
      <w:color w:val="214E75"/>
    </w:rPr>
  </w:style>
  <w:style w:type="paragraph" w:customStyle="1" w:styleId="Fotografa1cap8">
    <w:name w:val="Fotografía 1 cap8"/>
    <w:basedOn w:val="Normal"/>
    <w:next w:val="Normal"/>
    <w:autoRedefine/>
    <w:rsid w:val="00D743F5"/>
    <w:pPr>
      <w:numPr>
        <w:numId w:val="43"/>
      </w:numPr>
      <w:pBdr>
        <w:bottom w:val="single" w:sz="4" w:space="1" w:color="214F75"/>
      </w:pBdr>
      <w:jc w:val="left"/>
    </w:pPr>
    <w:rPr>
      <w:i/>
      <w:color w:val="214F75"/>
    </w:rPr>
  </w:style>
  <w:style w:type="paragraph" w:customStyle="1" w:styleId="Fotografia1cap9">
    <w:name w:val="Fotografia 1 cap9"/>
    <w:basedOn w:val="Normal"/>
    <w:next w:val="Normal"/>
    <w:autoRedefine/>
    <w:rsid w:val="00D743F5"/>
    <w:pPr>
      <w:numPr>
        <w:numId w:val="44"/>
      </w:numPr>
      <w:pBdr>
        <w:bottom w:val="single" w:sz="4" w:space="1" w:color="214F75"/>
      </w:pBdr>
      <w:jc w:val="left"/>
    </w:pPr>
    <w:rPr>
      <w:i/>
      <w:color w:val="214F75"/>
    </w:rPr>
  </w:style>
  <w:style w:type="paragraph" w:customStyle="1" w:styleId="Fotografia1cap10">
    <w:name w:val="Fotografia 1 cap10"/>
    <w:basedOn w:val="Normal"/>
    <w:next w:val="Normal"/>
    <w:autoRedefine/>
    <w:rsid w:val="00D743F5"/>
    <w:pPr>
      <w:numPr>
        <w:numId w:val="45"/>
      </w:numPr>
      <w:pBdr>
        <w:bottom w:val="single" w:sz="4" w:space="1" w:color="214F75"/>
      </w:pBdr>
      <w:jc w:val="left"/>
    </w:pPr>
    <w:rPr>
      <w:i/>
      <w:color w:val="214F75"/>
    </w:rPr>
  </w:style>
  <w:style w:type="paragraph" w:customStyle="1" w:styleId="Grafica1cap1">
    <w:name w:val="Grafica 1 cap1"/>
    <w:basedOn w:val="Lista2"/>
    <w:next w:val="Normal"/>
    <w:autoRedefine/>
    <w:rsid w:val="000404CA"/>
    <w:pPr>
      <w:numPr>
        <w:numId w:val="46"/>
      </w:numPr>
      <w:pBdr>
        <w:bottom w:val="single" w:sz="4" w:space="1" w:color="214F75"/>
      </w:pBdr>
      <w:jc w:val="left"/>
    </w:pPr>
    <w:rPr>
      <w:i/>
      <w:color w:val="214F75"/>
    </w:rPr>
  </w:style>
  <w:style w:type="paragraph" w:customStyle="1" w:styleId="Grafica1cap2">
    <w:name w:val="Grafica 1 cap2"/>
    <w:basedOn w:val="Normal"/>
    <w:next w:val="Normal"/>
    <w:autoRedefine/>
    <w:rsid w:val="000404CA"/>
    <w:pPr>
      <w:numPr>
        <w:numId w:val="47"/>
      </w:numPr>
      <w:pBdr>
        <w:bottom w:val="single" w:sz="4" w:space="1" w:color="214F75"/>
      </w:pBdr>
      <w:jc w:val="left"/>
    </w:pPr>
    <w:rPr>
      <w:i/>
      <w:color w:val="214F75"/>
    </w:rPr>
  </w:style>
  <w:style w:type="paragraph" w:customStyle="1" w:styleId="Grafica1cap3">
    <w:name w:val="Grafica 1 cap3"/>
    <w:basedOn w:val="Normal"/>
    <w:next w:val="Normal"/>
    <w:autoRedefine/>
    <w:rsid w:val="00145A14"/>
    <w:pPr>
      <w:numPr>
        <w:numId w:val="48"/>
      </w:numPr>
      <w:pBdr>
        <w:bottom w:val="single" w:sz="4" w:space="1" w:color="214F75"/>
      </w:pBdr>
      <w:jc w:val="left"/>
    </w:pPr>
    <w:rPr>
      <w:i/>
      <w:color w:val="214F75"/>
    </w:rPr>
  </w:style>
  <w:style w:type="paragraph" w:customStyle="1" w:styleId="Grafica1cap4">
    <w:name w:val="Grafica 1 cap4"/>
    <w:basedOn w:val="Normal"/>
    <w:next w:val="Normal"/>
    <w:autoRedefine/>
    <w:rsid w:val="00145A14"/>
    <w:pPr>
      <w:numPr>
        <w:numId w:val="49"/>
      </w:numPr>
      <w:pBdr>
        <w:bottom w:val="single" w:sz="4" w:space="1" w:color="214F75"/>
      </w:pBdr>
      <w:jc w:val="left"/>
    </w:pPr>
    <w:rPr>
      <w:i/>
      <w:color w:val="214F75"/>
    </w:rPr>
  </w:style>
  <w:style w:type="paragraph" w:customStyle="1" w:styleId="Grafica1cap5">
    <w:name w:val="Grafica 1 cap5"/>
    <w:basedOn w:val="Normal"/>
    <w:next w:val="Normal"/>
    <w:autoRedefine/>
    <w:rsid w:val="00145A14"/>
    <w:pPr>
      <w:numPr>
        <w:numId w:val="50"/>
      </w:numPr>
      <w:pBdr>
        <w:bottom w:val="single" w:sz="4" w:space="1" w:color="214F75"/>
      </w:pBdr>
      <w:jc w:val="left"/>
    </w:pPr>
    <w:rPr>
      <w:i/>
      <w:color w:val="214F75"/>
    </w:rPr>
  </w:style>
  <w:style w:type="paragraph" w:customStyle="1" w:styleId="Grafica1cap6">
    <w:name w:val="Grafica 1 cap6"/>
    <w:basedOn w:val="Normal"/>
    <w:next w:val="Normal"/>
    <w:autoRedefine/>
    <w:rsid w:val="00145A14"/>
    <w:pPr>
      <w:numPr>
        <w:numId w:val="51"/>
      </w:numPr>
      <w:pBdr>
        <w:bottom w:val="single" w:sz="4" w:space="1" w:color="214F75"/>
      </w:pBdr>
      <w:jc w:val="left"/>
    </w:pPr>
    <w:rPr>
      <w:i/>
      <w:color w:val="214F75"/>
    </w:rPr>
  </w:style>
  <w:style w:type="paragraph" w:customStyle="1" w:styleId="Grafica1cap7">
    <w:name w:val="Grafica 1 cap7"/>
    <w:basedOn w:val="Normal"/>
    <w:next w:val="Normal"/>
    <w:autoRedefine/>
    <w:rsid w:val="00145A14"/>
    <w:pPr>
      <w:numPr>
        <w:numId w:val="52"/>
      </w:numPr>
      <w:pBdr>
        <w:bottom w:val="single" w:sz="4" w:space="1" w:color="214F75"/>
      </w:pBdr>
      <w:jc w:val="left"/>
    </w:pPr>
    <w:rPr>
      <w:i/>
      <w:color w:val="214F75"/>
    </w:rPr>
  </w:style>
  <w:style w:type="paragraph" w:customStyle="1" w:styleId="Grafica1cap8">
    <w:name w:val="Grafica 1 cap8"/>
    <w:basedOn w:val="Normal"/>
    <w:next w:val="Normal"/>
    <w:autoRedefine/>
    <w:rsid w:val="00BC0B48"/>
    <w:pPr>
      <w:numPr>
        <w:numId w:val="53"/>
      </w:numPr>
      <w:pBdr>
        <w:bottom w:val="single" w:sz="4" w:space="1" w:color="214F75"/>
      </w:pBdr>
      <w:jc w:val="left"/>
    </w:pPr>
    <w:rPr>
      <w:i/>
      <w:color w:val="214F75"/>
    </w:rPr>
  </w:style>
  <w:style w:type="paragraph" w:customStyle="1" w:styleId="Grafica1cap9">
    <w:name w:val="Grafica 1 cap9"/>
    <w:basedOn w:val="Normal"/>
    <w:next w:val="Normal"/>
    <w:autoRedefine/>
    <w:rsid w:val="00BC0B48"/>
    <w:pPr>
      <w:numPr>
        <w:numId w:val="54"/>
      </w:numPr>
      <w:pBdr>
        <w:bottom w:val="single" w:sz="4" w:space="1" w:color="214F75"/>
      </w:pBdr>
      <w:jc w:val="left"/>
    </w:pPr>
    <w:rPr>
      <w:i/>
      <w:color w:val="214F75"/>
    </w:rPr>
  </w:style>
  <w:style w:type="paragraph" w:customStyle="1" w:styleId="Grafica1cap10">
    <w:name w:val="Grafica 1 cap10"/>
    <w:basedOn w:val="Normal"/>
    <w:next w:val="Normal"/>
    <w:autoRedefine/>
    <w:rsid w:val="00BC0B48"/>
    <w:pPr>
      <w:numPr>
        <w:numId w:val="55"/>
      </w:numPr>
      <w:pBdr>
        <w:bottom w:val="single" w:sz="4" w:space="1" w:color="214F75"/>
      </w:pBdr>
      <w:jc w:val="left"/>
    </w:pPr>
    <w:rPr>
      <w:i/>
      <w:color w:val="214F75"/>
    </w:rPr>
  </w:style>
  <w:style w:type="character" w:styleId="Refdecomentario">
    <w:name w:val="annotation reference"/>
    <w:basedOn w:val="Fuentedeprrafopredeter"/>
    <w:semiHidden/>
    <w:rsid w:val="00991412"/>
    <w:rPr>
      <w:sz w:val="16"/>
      <w:szCs w:val="16"/>
    </w:rPr>
  </w:style>
  <w:style w:type="paragraph" w:styleId="Textodeglobo">
    <w:name w:val="Balloon Text"/>
    <w:basedOn w:val="Normal"/>
    <w:semiHidden/>
    <w:rsid w:val="00991412"/>
    <w:rPr>
      <w:rFonts w:ascii="Tahoma" w:hAnsi="Tahoma"/>
      <w:sz w:val="16"/>
      <w:szCs w:val="16"/>
    </w:rPr>
  </w:style>
  <w:style w:type="paragraph" w:customStyle="1" w:styleId="PORTADA">
    <w:name w:val="PORTADA"/>
    <w:basedOn w:val="Normal"/>
    <w:next w:val="Normal"/>
    <w:autoRedefine/>
    <w:rsid w:val="0026694F"/>
    <w:pPr>
      <w:jc w:val="center"/>
    </w:pPr>
    <w:rPr>
      <w:rFonts w:ascii="Arial Rounded MT Bold" w:hAnsi="Arial Rounded MT Bold"/>
      <w:b/>
      <w:color w:val="214F71"/>
      <w:sz w:val="32"/>
    </w:rPr>
  </w:style>
  <w:style w:type="paragraph" w:styleId="ndice1">
    <w:name w:val="index 1"/>
    <w:basedOn w:val="Normal"/>
    <w:next w:val="Normal"/>
    <w:autoRedefine/>
    <w:semiHidden/>
    <w:rsid w:val="00AB1F61"/>
    <w:pPr>
      <w:ind w:left="220" w:hanging="220"/>
    </w:pPr>
  </w:style>
  <w:style w:type="paragraph" w:styleId="Ttulodendice">
    <w:name w:val="index heading"/>
    <w:basedOn w:val="Normal"/>
    <w:next w:val="Normal"/>
    <w:autoRedefine/>
    <w:semiHidden/>
    <w:rsid w:val="00EA611E"/>
    <w:pPr>
      <w:spacing w:after="480"/>
      <w:ind w:firstLine="0"/>
    </w:pPr>
    <w:rPr>
      <w:rFonts w:cs="Arial"/>
      <w:b/>
      <w:bCs/>
      <w:caps/>
      <w:color w:val="214F75"/>
      <w:sz w:val="20"/>
    </w:rPr>
  </w:style>
  <w:style w:type="paragraph" w:styleId="Epgrafe">
    <w:name w:val="caption"/>
    <w:basedOn w:val="Normal"/>
    <w:next w:val="Normal"/>
    <w:qFormat/>
    <w:rsid w:val="006566E2"/>
    <w:rPr>
      <w:b/>
      <w:bCs/>
      <w:sz w:val="20"/>
    </w:rPr>
  </w:style>
  <w:style w:type="paragraph" w:styleId="Lista2">
    <w:name w:val="List 2"/>
    <w:basedOn w:val="Normal"/>
    <w:rsid w:val="00536A2B"/>
    <w:pPr>
      <w:ind w:left="566" w:hanging="283"/>
    </w:pPr>
  </w:style>
  <w:style w:type="paragraph" w:customStyle="1" w:styleId="tabla1cap11">
    <w:name w:val="tabla 1 cap11"/>
    <w:basedOn w:val="Normal"/>
    <w:autoRedefine/>
    <w:rsid w:val="00023A36"/>
    <w:pPr>
      <w:numPr>
        <w:numId w:val="57"/>
      </w:numPr>
      <w:pBdr>
        <w:bottom w:val="single" w:sz="4" w:space="1" w:color="214F75"/>
      </w:pBdr>
      <w:tabs>
        <w:tab w:val="left" w:pos="1217"/>
      </w:tabs>
      <w:jc w:val="left"/>
    </w:pPr>
    <w:rPr>
      <w:i/>
      <w:color w:val="214F75"/>
      <w:lang w:val="en-US"/>
    </w:rPr>
  </w:style>
  <w:style w:type="paragraph" w:customStyle="1" w:styleId="Tabla1cap12">
    <w:name w:val="Tabla1 cap12"/>
    <w:basedOn w:val="Normal"/>
    <w:autoRedefine/>
    <w:rsid w:val="00023A36"/>
    <w:pPr>
      <w:numPr>
        <w:numId w:val="58"/>
      </w:numPr>
      <w:pBdr>
        <w:bottom w:val="single" w:sz="4" w:space="1" w:color="214F75"/>
      </w:pBdr>
      <w:tabs>
        <w:tab w:val="left" w:pos="1217"/>
      </w:tabs>
      <w:jc w:val="left"/>
    </w:pPr>
    <w:rPr>
      <w:i/>
      <w:color w:val="214F75"/>
      <w:lang w:val="en-US"/>
    </w:rPr>
  </w:style>
  <w:style w:type="paragraph" w:customStyle="1" w:styleId="Tabla1cap13">
    <w:name w:val="Tabla1 cap13"/>
    <w:basedOn w:val="Normal"/>
    <w:autoRedefine/>
    <w:rsid w:val="00A60C5C"/>
    <w:pPr>
      <w:numPr>
        <w:numId w:val="59"/>
      </w:numPr>
      <w:pBdr>
        <w:bottom w:val="single" w:sz="4" w:space="1" w:color="214F75"/>
      </w:pBdr>
      <w:tabs>
        <w:tab w:val="left" w:pos="1217"/>
      </w:tabs>
      <w:jc w:val="left"/>
    </w:pPr>
    <w:rPr>
      <w:i/>
      <w:color w:val="214F75"/>
      <w:lang w:val="es-ES"/>
    </w:rPr>
  </w:style>
  <w:style w:type="paragraph" w:customStyle="1" w:styleId="Figura1cap12">
    <w:name w:val="Figura1 cap12"/>
    <w:basedOn w:val="Normal"/>
    <w:autoRedefine/>
    <w:rsid w:val="009D5164"/>
    <w:pPr>
      <w:numPr>
        <w:numId w:val="63"/>
      </w:numPr>
      <w:pBdr>
        <w:bottom w:val="single" w:sz="4" w:space="1" w:color="214F75"/>
      </w:pBdr>
      <w:tabs>
        <w:tab w:val="left" w:pos="1217"/>
      </w:tabs>
      <w:jc w:val="left"/>
    </w:pPr>
    <w:rPr>
      <w:i/>
      <w:color w:val="214F75"/>
      <w:lang w:val="en-US"/>
    </w:rPr>
  </w:style>
  <w:style w:type="paragraph" w:customStyle="1" w:styleId="Figura1cap13">
    <w:name w:val="Figura1 cap13"/>
    <w:basedOn w:val="Normal"/>
    <w:autoRedefine/>
    <w:rsid w:val="00D926F0"/>
    <w:pPr>
      <w:numPr>
        <w:numId w:val="64"/>
      </w:numPr>
      <w:pBdr>
        <w:bottom w:val="single" w:sz="4" w:space="1" w:color="214F75"/>
      </w:pBdr>
      <w:tabs>
        <w:tab w:val="left" w:pos="1217"/>
      </w:tabs>
      <w:jc w:val="left"/>
    </w:pPr>
    <w:rPr>
      <w:i/>
      <w:color w:val="214F75"/>
      <w:lang w:val="en-US"/>
    </w:rPr>
  </w:style>
  <w:style w:type="paragraph" w:customStyle="1" w:styleId="Figura1cap14">
    <w:name w:val="Figura1 cap14"/>
    <w:basedOn w:val="Normal"/>
    <w:autoRedefine/>
    <w:rsid w:val="00D926F0"/>
    <w:pPr>
      <w:numPr>
        <w:numId w:val="65"/>
      </w:numPr>
      <w:pBdr>
        <w:bottom w:val="single" w:sz="4" w:space="1" w:color="214F75"/>
      </w:pBdr>
      <w:tabs>
        <w:tab w:val="left" w:pos="1217"/>
      </w:tabs>
      <w:jc w:val="left"/>
    </w:pPr>
    <w:rPr>
      <w:i/>
      <w:color w:val="214F75"/>
      <w:lang w:val="en-US"/>
    </w:rPr>
  </w:style>
  <w:style w:type="paragraph" w:customStyle="1" w:styleId="Figura1cap15">
    <w:name w:val="Figura1 cap15"/>
    <w:basedOn w:val="Normal"/>
    <w:autoRedefine/>
    <w:rsid w:val="00D926F0"/>
    <w:pPr>
      <w:numPr>
        <w:numId w:val="66"/>
      </w:numPr>
      <w:pBdr>
        <w:bottom w:val="single" w:sz="4" w:space="1" w:color="214F75"/>
      </w:pBdr>
      <w:tabs>
        <w:tab w:val="left" w:pos="1217"/>
      </w:tabs>
      <w:jc w:val="left"/>
    </w:pPr>
    <w:rPr>
      <w:i/>
      <w:color w:val="214F75"/>
      <w:lang w:val="en-US"/>
    </w:rPr>
  </w:style>
  <w:style w:type="paragraph" w:customStyle="1" w:styleId="Grafica1cap11">
    <w:name w:val="Grafica1 cap11"/>
    <w:basedOn w:val="Normal"/>
    <w:autoRedefine/>
    <w:rsid w:val="001830F2"/>
    <w:pPr>
      <w:numPr>
        <w:numId w:val="67"/>
      </w:numPr>
      <w:pBdr>
        <w:bottom w:val="single" w:sz="4" w:space="1" w:color="214F75"/>
      </w:pBdr>
      <w:ind w:left="0" w:firstLine="0"/>
      <w:jc w:val="left"/>
    </w:pPr>
    <w:rPr>
      <w:i/>
      <w:color w:val="214F75"/>
      <w:lang w:val="en-US"/>
    </w:rPr>
  </w:style>
  <w:style w:type="paragraph" w:customStyle="1" w:styleId="Grafica1cap12">
    <w:name w:val="Grafica1 cap12"/>
    <w:basedOn w:val="Normal"/>
    <w:autoRedefine/>
    <w:rsid w:val="001830F2"/>
    <w:pPr>
      <w:numPr>
        <w:numId w:val="68"/>
      </w:numPr>
      <w:pBdr>
        <w:bottom w:val="single" w:sz="4" w:space="1" w:color="214F75"/>
      </w:pBdr>
      <w:ind w:left="0" w:firstLine="0"/>
      <w:jc w:val="left"/>
    </w:pPr>
    <w:rPr>
      <w:i/>
      <w:color w:val="214F75"/>
      <w:lang w:val="en-US"/>
    </w:rPr>
  </w:style>
  <w:style w:type="paragraph" w:customStyle="1" w:styleId="Grafica1cap13">
    <w:name w:val="Grafica1 cap13"/>
    <w:basedOn w:val="Normal"/>
    <w:autoRedefine/>
    <w:rsid w:val="000B3984"/>
    <w:pPr>
      <w:numPr>
        <w:numId w:val="69"/>
      </w:numPr>
      <w:pBdr>
        <w:bottom w:val="single" w:sz="4" w:space="1" w:color="214F75"/>
      </w:pBdr>
      <w:ind w:left="0" w:firstLine="0"/>
      <w:jc w:val="left"/>
    </w:pPr>
    <w:rPr>
      <w:i/>
      <w:color w:val="214F75"/>
      <w:lang w:val="en-US"/>
    </w:rPr>
  </w:style>
  <w:style w:type="paragraph" w:customStyle="1" w:styleId="Grafica1cap14">
    <w:name w:val="Grafica1 cap14"/>
    <w:basedOn w:val="Normal"/>
    <w:autoRedefine/>
    <w:rsid w:val="001830F2"/>
    <w:pPr>
      <w:numPr>
        <w:numId w:val="70"/>
      </w:numPr>
      <w:pBdr>
        <w:bottom w:val="single" w:sz="4" w:space="1" w:color="214F75"/>
      </w:pBdr>
      <w:ind w:left="0" w:firstLine="0"/>
      <w:jc w:val="left"/>
    </w:pPr>
    <w:rPr>
      <w:i/>
      <w:color w:val="214F75"/>
      <w:lang w:val="en-US"/>
    </w:rPr>
  </w:style>
  <w:style w:type="paragraph" w:customStyle="1" w:styleId="Grafica1cap15">
    <w:name w:val="Grafica1 cap15"/>
    <w:basedOn w:val="Normal"/>
    <w:autoRedefine/>
    <w:rsid w:val="00D34F2F"/>
    <w:pPr>
      <w:numPr>
        <w:numId w:val="71"/>
      </w:numPr>
      <w:pBdr>
        <w:bottom w:val="single" w:sz="4" w:space="1" w:color="214F75"/>
      </w:pBdr>
      <w:ind w:left="0" w:firstLine="0"/>
      <w:jc w:val="left"/>
    </w:pPr>
    <w:rPr>
      <w:i/>
      <w:color w:val="214F75"/>
      <w:lang w:val="en-US"/>
    </w:rPr>
  </w:style>
  <w:style w:type="paragraph" w:customStyle="1" w:styleId="Fotografia1cap11">
    <w:name w:val="Fotografia1 cap11"/>
    <w:basedOn w:val="Normal"/>
    <w:autoRedefine/>
    <w:rsid w:val="003E5FFF"/>
    <w:pPr>
      <w:numPr>
        <w:numId w:val="72"/>
      </w:numPr>
      <w:pBdr>
        <w:bottom w:val="single" w:sz="4" w:space="1" w:color="214F75"/>
      </w:pBdr>
      <w:ind w:left="0" w:firstLine="0"/>
      <w:jc w:val="left"/>
    </w:pPr>
    <w:rPr>
      <w:i/>
      <w:color w:val="214F75"/>
      <w:lang w:val="en-US"/>
    </w:rPr>
  </w:style>
  <w:style w:type="paragraph" w:customStyle="1" w:styleId="Fotografia1cap12">
    <w:name w:val="Fotografia1 cap12"/>
    <w:basedOn w:val="Normal"/>
    <w:autoRedefine/>
    <w:rsid w:val="003E5FFF"/>
    <w:pPr>
      <w:numPr>
        <w:numId w:val="73"/>
      </w:numPr>
      <w:pBdr>
        <w:bottom w:val="single" w:sz="4" w:space="1" w:color="214F75"/>
      </w:pBdr>
      <w:ind w:left="0" w:firstLine="0"/>
      <w:jc w:val="left"/>
    </w:pPr>
    <w:rPr>
      <w:i/>
      <w:color w:val="214F75"/>
      <w:lang w:val="en-US"/>
    </w:rPr>
  </w:style>
  <w:style w:type="paragraph" w:customStyle="1" w:styleId="Fotografia1cap13">
    <w:name w:val="Fotografia1 cap13"/>
    <w:basedOn w:val="Normal"/>
    <w:autoRedefine/>
    <w:rsid w:val="003E5FFF"/>
    <w:pPr>
      <w:numPr>
        <w:numId w:val="74"/>
      </w:numPr>
      <w:pBdr>
        <w:bottom w:val="single" w:sz="4" w:space="1" w:color="214F75"/>
      </w:pBdr>
      <w:ind w:left="0" w:firstLine="0"/>
      <w:jc w:val="left"/>
    </w:pPr>
    <w:rPr>
      <w:i/>
      <w:color w:val="214F75"/>
      <w:lang w:val="en-US"/>
    </w:rPr>
  </w:style>
  <w:style w:type="paragraph" w:customStyle="1" w:styleId="Fotografia1cap14">
    <w:name w:val="Fotografia1 cap14"/>
    <w:basedOn w:val="Normal"/>
    <w:autoRedefine/>
    <w:rsid w:val="003E5FFF"/>
    <w:pPr>
      <w:numPr>
        <w:numId w:val="75"/>
      </w:numPr>
      <w:pBdr>
        <w:bottom w:val="single" w:sz="4" w:space="1" w:color="214F75"/>
      </w:pBdr>
      <w:ind w:left="0" w:firstLine="0"/>
      <w:jc w:val="left"/>
    </w:pPr>
    <w:rPr>
      <w:i/>
      <w:color w:val="214F75"/>
      <w:lang w:val="en-US"/>
    </w:rPr>
  </w:style>
  <w:style w:type="paragraph" w:customStyle="1" w:styleId="Fotografia1cap15">
    <w:name w:val="Fotografia1 cap15"/>
    <w:basedOn w:val="Normal"/>
    <w:autoRedefine/>
    <w:rsid w:val="003E5FFF"/>
    <w:pPr>
      <w:numPr>
        <w:numId w:val="76"/>
      </w:numPr>
      <w:pBdr>
        <w:bottom w:val="single" w:sz="4" w:space="1" w:color="214F75"/>
      </w:pBdr>
      <w:ind w:left="0" w:firstLine="0"/>
      <w:jc w:val="left"/>
    </w:pPr>
    <w:rPr>
      <w:i/>
      <w:color w:val="214F75"/>
      <w:lang w:val="en-US"/>
    </w:rPr>
  </w:style>
  <w:style w:type="paragraph" w:customStyle="1" w:styleId="Cuadro1cap11">
    <w:name w:val="Cuadro1 cap11"/>
    <w:basedOn w:val="Normal"/>
    <w:autoRedefine/>
    <w:rsid w:val="00AA6BC6"/>
    <w:pPr>
      <w:numPr>
        <w:numId w:val="77"/>
      </w:numPr>
      <w:pBdr>
        <w:bottom w:val="single" w:sz="4" w:space="1" w:color="214F75"/>
      </w:pBdr>
      <w:ind w:left="0" w:firstLine="0"/>
      <w:jc w:val="left"/>
    </w:pPr>
    <w:rPr>
      <w:i/>
      <w:color w:val="214F75"/>
      <w:lang w:val="en-US"/>
    </w:rPr>
  </w:style>
  <w:style w:type="paragraph" w:customStyle="1" w:styleId="Cuadro1cap12">
    <w:name w:val="Cuadro1 cap12"/>
    <w:basedOn w:val="Normal"/>
    <w:autoRedefine/>
    <w:rsid w:val="00AA6BC6"/>
    <w:pPr>
      <w:numPr>
        <w:numId w:val="78"/>
      </w:numPr>
      <w:pBdr>
        <w:bottom w:val="single" w:sz="4" w:space="1" w:color="214F75"/>
      </w:pBdr>
      <w:ind w:left="0" w:firstLine="0"/>
      <w:jc w:val="left"/>
    </w:pPr>
    <w:rPr>
      <w:i/>
      <w:color w:val="214F75"/>
      <w:lang w:val="en-US"/>
    </w:rPr>
  </w:style>
  <w:style w:type="paragraph" w:customStyle="1" w:styleId="Cuadro1cap13">
    <w:name w:val="Cuadro1 cap13"/>
    <w:basedOn w:val="Normal"/>
    <w:autoRedefine/>
    <w:rsid w:val="00AA6BC6"/>
    <w:pPr>
      <w:numPr>
        <w:numId w:val="79"/>
      </w:numPr>
      <w:pBdr>
        <w:bottom w:val="single" w:sz="4" w:space="1" w:color="214F75"/>
      </w:pBdr>
      <w:ind w:left="0" w:firstLine="0"/>
      <w:jc w:val="left"/>
    </w:pPr>
    <w:rPr>
      <w:i/>
      <w:color w:val="214F75"/>
      <w:lang w:val="en-US"/>
    </w:rPr>
  </w:style>
  <w:style w:type="paragraph" w:customStyle="1" w:styleId="Cuadro1cap14">
    <w:name w:val="Cuadro1 cap14"/>
    <w:basedOn w:val="Normal"/>
    <w:autoRedefine/>
    <w:rsid w:val="00AA6BC6"/>
    <w:pPr>
      <w:numPr>
        <w:numId w:val="80"/>
      </w:numPr>
      <w:pBdr>
        <w:bottom w:val="single" w:sz="4" w:space="1" w:color="214F75"/>
      </w:pBdr>
      <w:ind w:left="0" w:firstLine="0"/>
      <w:jc w:val="left"/>
    </w:pPr>
    <w:rPr>
      <w:i/>
      <w:color w:val="214F75"/>
      <w:lang w:val="en-US"/>
    </w:rPr>
  </w:style>
  <w:style w:type="paragraph" w:customStyle="1" w:styleId="Cuadro1cap15">
    <w:name w:val="Cuadro1 cap15"/>
    <w:basedOn w:val="Normal"/>
    <w:autoRedefine/>
    <w:rsid w:val="00542885"/>
    <w:pPr>
      <w:numPr>
        <w:numId w:val="81"/>
      </w:numPr>
      <w:pBdr>
        <w:bottom w:val="single" w:sz="4" w:space="1" w:color="214F75"/>
      </w:pBdr>
      <w:ind w:left="0" w:firstLine="0"/>
      <w:jc w:val="left"/>
    </w:pPr>
    <w:rPr>
      <w:i/>
      <w:color w:val="214F75"/>
      <w:lang w:val="en-US"/>
    </w:rPr>
  </w:style>
  <w:style w:type="table" w:styleId="Tablaconcuadrcula">
    <w:name w:val="Table Grid"/>
    <w:basedOn w:val="Tablanormal"/>
    <w:rsid w:val="00B1710B"/>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onotapie">
    <w:name w:val="footnote text"/>
    <w:basedOn w:val="Normal"/>
    <w:link w:val="TextonotapieCar"/>
    <w:rsid w:val="00971E91"/>
  </w:style>
  <w:style w:type="character" w:customStyle="1" w:styleId="TextonotapieCar">
    <w:name w:val="Texto nota pie Car"/>
    <w:basedOn w:val="Fuentedeprrafopredeter"/>
    <w:link w:val="Textonotapie"/>
    <w:rsid w:val="00971E91"/>
    <w:rPr>
      <w:rFonts w:ascii="Arial" w:hAnsi="Arial" w:cs="Tahoma"/>
      <w:lang w:eastAsia="es-ES"/>
    </w:rPr>
  </w:style>
  <w:style w:type="character" w:styleId="Refdenotaalpie">
    <w:name w:val="footnote reference"/>
    <w:basedOn w:val="Fuentedeprrafopredeter"/>
    <w:rsid w:val="00971E91"/>
    <w:rPr>
      <w:vertAlign w:val="superscript"/>
    </w:rPr>
  </w:style>
  <w:style w:type="table" w:styleId="Tablaconcuadrcula8">
    <w:name w:val="Table Grid 8"/>
    <w:basedOn w:val="Tablanormal"/>
    <w:rsid w:val="004D3527"/>
    <w:pPr>
      <w:spacing w:before="60" w:after="120"/>
      <w:ind w:firstLine="284"/>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aconcolumnas3">
    <w:name w:val="Table Columns 3"/>
    <w:basedOn w:val="Tablanormal"/>
    <w:rsid w:val="004D3527"/>
    <w:pPr>
      <w:spacing w:before="60" w:after="120"/>
      <w:ind w:firstLine="284"/>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absica1">
    <w:name w:val="Table Simple 1"/>
    <w:basedOn w:val="Tablanormal"/>
    <w:rsid w:val="00E82400"/>
    <w:pPr>
      <w:spacing w:before="60" w:after="120"/>
      <w:ind w:firstLine="284"/>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Prrafodelista">
    <w:name w:val="List Paragraph"/>
    <w:basedOn w:val="Normal"/>
    <w:uiPriority w:val="34"/>
    <w:qFormat/>
    <w:rsid w:val="00B84264"/>
    <w:pPr>
      <w:ind w:left="708"/>
    </w:pPr>
  </w:style>
  <w:style w:type="paragraph" w:styleId="TtulodeTDC">
    <w:name w:val="TOC Heading"/>
    <w:basedOn w:val="Ttulo1"/>
    <w:next w:val="Normal"/>
    <w:uiPriority w:val="39"/>
    <w:semiHidden/>
    <w:unhideWhenUsed/>
    <w:qFormat/>
    <w:rsid w:val="00BA13E8"/>
    <w:pPr>
      <w:keepNext/>
      <w:keepLines/>
      <w:numPr>
        <w:numId w:val="0"/>
      </w:numPr>
      <w:spacing w:before="480" w:after="0" w:line="276" w:lineRule="auto"/>
      <w:outlineLvl w:val="9"/>
    </w:pPr>
    <w:rPr>
      <w:rFonts w:ascii="Cambria" w:eastAsia="Times New Roman" w:hAnsi="Cambria" w:cs="Times New Roman"/>
      <w:smallCaps w:val="0"/>
      <w:color w:val="365F91"/>
      <w:sz w:val="28"/>
      <w:szCs w:val="28"/>
      <w:lang w:val="es-ES" w:eastAsia="en-US"/>
    </w:rPr>
  </w:style>
  <w:style w:type="paragraph" w:customStyle="1" w:styleId="ecxmsonormal">
    <w:name w:val="ecxmsonormal"/>
    <w:basedOn w:val="Normal"/>
    <w:rsid w:val="00DC298E"/>
    <w:pPr>
      <w:spacing w:before="0" w:after="324" w:line="240" w:lineRule="auto"/>
      <w:ind w:firstLine="0"/>
      <w:jc w:val="left"/>
    </w:pPr>
    <w:rPr>
      <w:rFonts w:ascii="Times New Roman" w:eastAsia="Times New Roman" w:hAnsi="Times New Roman" w:cs="Times New Roman"/>
      <w:sz w:val="24"/>
      <w:szCs w:val="24"/>
      <w:lang w:val="es-ES"/>
    </w:rPr>
  </w:style>
  <w:style w:type="character" w:customStyle="1" w:styleId="PiedepginaCar">
    <w:name w:val="Pie de página Car"/>
    <w:basedOn w:val="Fuentedeprrafopredeter"/>
    <w:link w:val="Piedepgina"/>
    <w:uiPriority w:val="99"/>
    <w:rsid w:val="00FE2F03"/>
    <w:rPr>
      <w:rFonts w:ascii="Arial" w:hAnsi="Arial" w:cs="Tahoma"/>
      <w:sz w:val="16"/>
      <w:szCs w:val="16"/>
      <w:lang w:eastAsia="es-ES"/>
    </w:rPr>
  </w:style>
  <w:style w:type="paragraph" w:customStyle="1" w:styleId="Estilo2">
    <w:name w:val="Estilo2"/>
    <w:basedOn w:val="Ttulo2"/>
    <w:link w:val="Estilo2Car"/>
    <w:qFormat/>
    <w:rsid w:val="00243F4C"/>
    <w:pPr>
      <w:numPr>
        <w:ilvl w:val="0"/>
        <w:numId w:val="84"/>
      </w:numPr>
    </w:pPr>
  </w:style>
  <w:style w:type="paragraph" w:customStyle="1" w:styleId="Estilo3">
    <w:name w:val="Estilo3"/>
    <w:basedOn w:val="Estilo2"/>
    <w:link w:val="Estilo3Car"/>
    <w:qFormat/>
    <w:rsid w:val="00151C18"/>
    <w:pPr>
      <w:numPr>
        <w:numId w:val="85"/>
      </w:numPr>
    </w:pPr>
  </w:style>
  <w:style w:type="character" w:customStyle="1" w:styleId="Ttulo2Car">
    <w:name w:val="Título 2 Car"/>
    <w:basedOn w:val="Fuentedeprrafopredeter"/>
    <w:link w:val="Ttulo2"/>
    <w:rsid w:val="000E71C1"/>
    <w:rPr>
      <w:rFonts w:ascii="Arial" w:hAnsi="Arial" w:cs="Tahoma"/>
      <w:b/>
      <w:smallCaps/>
      <w:color w:val="214F75"/>
      <w:sz w:val="28"/>
      <w:szCs w:val="24"/>
      <w:lang w:eastAsia="es-ES"/>
    </w:rPr>
  </w:style>
  <w:style w:type="character" w:customStyle="1" w:styleId="Estilo2Car">
    <w:name w:val="Estilo2 Car"/>
    <w:basedOn w:val="Ttulo2Car"/>
    <w:link w:val="Estilo2"/>
    <w:rsid w:val="00243F4C"/>
  </w:style>
  <w:style w:type="paragraph" w:customStyle="1" w:styleId="Estilo4">
    <w:name w:val="Estilo4"/>
    <w:basedOn w:val="Ttulo2"/>
    <w:link w:val="Estilo4Car"/>
    <w:qFormat/>
    <w:rsid w:val="00151C18"/>
    <w:pPr>
      <w:numPr>
        <w:ilvl w:val="0"/>
        <w:numId w:val="86"/>
      </w:numPr>
    </w:pPr>
  </w:style>
  <w:style w:type="character" w:customStyle="1" w:styleId="Estilo3Car">
    <w:name w:val="Estilo3 Car"/>
    <w:basedOn w:val="Estilo2Car"/>
    <w:link w:val="Estilo3"/>
    <w:rsid w:val="00151C18"/>
  </w:style>
  <w:style w:type="character" w:customStyle="1" w:styleId="Estilo4Car">
    <w:name w:val="Estilo4 Car"/>
    <w:basedOn w:val="Ttulo2Car"/>
    <w:link w:val="Estilo4"/>
    <w:rsid w:val="00151C18"/>
  </w:style>
</w:styles>
</file>

<file path=word/webSettings.xml><?xml version="1.0" encoding="utf-8"?>
<w:webSettings xmlns:r="http://schemas.openxmlformats.org/officeDocument/2006/relationships" xmlns:w="http://schemas.openxmlformats.org/wordprocessingml/2006/main">
  <w:divs>
    <w:div w:id="1299846153">
      <w:bodyDiv w:val="1"/>
      <w:marLeft w:val="0"/>
      <w:marRight w:val="0"/>
      <w:marTop w:val="0"/>
      <w:marBottom w:val="0"/>
      <w:divBdr>
        <w:top w:val="none" w:sz="0" w:space="0" w:color="auto"/>
        <w:left w:val="none" w:sz="0" w:space="0" w:color="auto"/>
        <w:bottom w:val="none" w:sz="0" w:space="0" w:color="auto"/>
        <w:right w:val="none" w:sz="0" w:space="0" w:color="auto"/>
      </w:divBdr>
    </w:div>
    <w:div w:id="13831656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5.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jpe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0.jpeg"/><Relationship Id="rId10" Type="http://schemas.openxmlformats.org/officeDocument/2006/relationships/footer" Target="footer1.xm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9.emf"/><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A519D5-54A0-45E1-A0C2-AB854DD1DD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310</TotalTime>
  <Pages>22</Pages>
  <Words>9220</Words>
  <Characters>50713</Characters>
  <Application>Microsoft Office Word</Application>
  <DocSecurity>0</DocSecurity>
  <Lines>422</Lines>
  <Paragraphs>119</Paragraphs>
  <ScaleCrop>false</ScaleCrop>
  <HeadingPairs>
    <vt:vector size="2" baseType="variant">
      <vt:variant>
        <vt:lpstr>Título</vt:lpstr>
      </vt:variant>
      <vt:variant>
        <vt:i4>1</vt:i4>
      </vt:variant>
    </vt:vector>
  </HeadingPairs>
  <TitlesOfParts>
    <vt:vector size="1" baseType="lpstr">
      <vt:lpstr>México,  D</vt:lpstr>
    </vt:vector>
  </TitlesOfParts>
  <Company>www.intercambiosvirtuales.org</Company>
  <LinksUpToDate>false</LinksUpToDate>
  <CharactersWithSpaces>59814</CharactersWithSpaces>
  <SharedDoc>false</SharedDoc>
  <HLinks>
    <vt:vector size="150" baseType="variant">
      <vt:variant>
        <vt:i4>1048626</vt:i4>
      </vt:variant>
      <vt:variant>
        <vt:i4>146</vt:i4>
      </vt:variant>
      <vt:variant>
        <vt:i4>0</vt:i4>
      </vt:variant>
      <vt:variant>
        <vt:i4>5</vt:i4>
      </vt:variant>
      <vt:variant>
        <vt:lpwstr/>
      </vt:variant>
      <vt:variant>
        <vt:lpwstr>_Toc274656106</vt:lpwstr>
      </vt:variant>
      <vt:variant>
        <vt:i4>1048626</vt:i4>
      </vt:variant>
      <vt:variant>
        <vt:i4>140</vt:i4>
      </vt:variant>
      <vt:variant>
        <vt:i4>0</vt:i4>
      </vt:variant>
      <vt:variant>
        <vt:i4>5</vt:i4>
      </vt:variant>
      <vt:variant>
        <vt:lpwstr/>
      </vt:variant>
      <vt:variant>
        <vt:lpwstr>_Toc274656105</vt:lpwstr>
      </vt:variant>
      <vt:variant>
        <vt:i4>1048626</vt:i4>
      </vt:variant>
      <vt:variant>
        <vt:i4>134</vt:i4>
      </vt:variant>
      <vt:variant>
        <vt:i4>0</vt:i4>
      </vt:variant>
      <vt:variant>
        <vt:i4>5</vt:i4>
      </vt:variant>
      <vt:variant>
        <vt:lpwstr/>
      </vt:variant>
      <vt:variant>
        <vt:lpwstr>_Toc274656104</vt:lpwstr>
      </vt:variant>
      <vt:variant>
        <vt:i4>1048626</vt:i4>
      </vt:variant>
      <vt:variant>
        <vt:i4>128</vt:i4>
      </vt:variant>
      <vt:variant>
        <vt:i4>0</vt:i4>
      </vt:variant>
      <vt:variant>
        <vt:i4>5</vt:i4>
      </vt:variant>
      <vt:variant>
        <vt:lpwstr/>
      </vt:variant>
      <vt:variant>
        <vt:lpwstr>_Toc274656103</vt:lpwstr>
      </vt:variant>
      <vt:variant>
        <vt:i4>1048626</vt:i4>
      </vt:variant>
      <vt:variant>
        <vt:i4>122</vt:i4>
      </vt:variant>
      <vt:variant>
        <vt:i4>0</vt:i4>
      </vt:variant>
      <vt:variant>
        <vt:i4>5</vt:i4>
      </vt:variant>
      <vt:variant>
        <vt:lpwstr/>
      </vt:variant>
      <vt:variant>
        <vt:lpwstr>_Toc274656102</vt:lpwstr>
      </vt:variant>
      <vt:variant>
        <vt:i4>1048626</vt:i4>
      </vt:variant>
      <vt:variant>
        <vt:i4>116</vt:i4>
      </vt:variant>
      <vt:variant>
        <vt:i4>0</vt:i4>
      </vt:variant>
      <vt:variant>
        <vt:i4>5</vt:i4>
      </vt:variant>
      <vt:variant>
        <vt:lpwstr/>
      </vt:variant>
      <vt:variant>
        <vt:lpwstr>_Toc274656101</vt:lpwstr>
      </vt:variant>
      <vt:variant>
        <vt:i4>1048626</vt:i4>
      </vt:variant>
      <vt:variant>
        <vt:i4>110</vt:i4>
      </vt:variant>
      <vt:variant>
        <vt:i4>0</vt:i4>
      </vt:variant>
      <vt:variant>
        <vt:i4>5</vt:i4>
      </vt:variant>
      <vt:variant>
        <vt:lpwstr/>
      </vt:variant>
      <vt:variant>
        <vt:lpwstr>_Toc274656100</vt:lpwstr>
      </vt:variant>
      <vt:variant>
        <vt:i4>1638451</vt:i4>
      </vt:variant>
      <vt:variant>
        <vt:i4>104</vt:i4>
      </vt:variant>
      <vt:variant>
        <vt:i4>0</vt:i4>
      </vt:variant>
      <vt:variant>
        <vt:i4>5</vt:i4>
      </vt:variant>
      <vt:variant>
        <vt:lpwstr/>
      </vt:variant>
      <vt:variant>
        <vt:lpwstr>_Toc274656099</vt:lpwstr>
      </vt:variant>
      <vt:variant>
        <vt:i4>1638451</vt:i4>
      </vt:variant>
      <vt:variant>
        <vt:i4>98</vt:i4>
      </vt:variant>
      <vt:variant>
        <vt:i4>0</vt:i4>
      </vt:variant>
      <vt:variant>
        <vt:i4>5</vt:i4>
      </vt:variant>
      <vt:variant>
        <vt:lpwstr/>
      </vt:variant>
      <vt:variant>
        <vt:lpwstr>_Toc274656098</vt:lpwstr>
      </vt:variant>
      <vt:variant>
        <vt:i4>1638451</vt:i4>
      </vt:variant>
      <vt:variant>
        <vt:i4>92</vt:i4>
      </vt:variant>
      <vt:variant>
        <vt:i4>0</vt:i4>
      </vt:variant>
      <vt:variant>
        <vt:i4>5</vt:i4>
      </vt:variant>
      <vt:variant>
        <vt:lpwstr/>
      </vt:variant>
      <vt:variant>
        <vt:lpwstr>_Toc274656097</vt:lpwstr>
      </vt:variant>
      <vt:variant>
        <vt:i4>1638451</vt:i4>
      </vt:variant>
      <vt:variant>
        <vt:i4>86</vt:i4>
      </vt:variant>
      <vt:variant>
        <vt:i4>0</vt:i4>
      </vt:variant>
      <vt:variant>
        <vt:i4>5</vt:i4>
      </vt:variant>
      <vt:variant>
        <vt:lpwstr/>
      </vt:variant>
      <vt:variant>
        <vt:lpwstr>_Toc274656096</vt:lpwstr>
      </vt:variant>
      <vt:variant>
        <vt:i4>1638451</vt:i4>
      </vt:variant>
      <vt:variant>
        <vt:i4>80</vt:i4>
      </vt:variant>
      <vt:variant>
        <vt:i4>0</vt:i4>
      </vt:variant>
      <vt:variant>
        <vt:i4>5</vt:i4>
      </vt:variant>
      <vt:variant>
        <vt:lpwstr/>
      </vt:variant>
      <vt:variant>
        <vt:lpwstr>_Toc274656095</vt:lpwstr>
      </vt:variant>
      <vt:variant>
        <vt:i4>1638451</vt:i4>
      </vt:variant>
      <vt:variant>
        <vt:i4>74</vt:i4>
      </vt:variant>
      <vt:variant>
        <vt:i4>0</vt:i4>
      </vt:variant>
      <vt:variant>
        <vt:i4>5</vt:i4>
      </vt:variant>
      <vt:variant>
        <vt:lpwstr/>
      </vt:variant>
      <vt:variant>
        <vt:lpwstr>_Toc274656094</vt:lpwstr>
      </vt:variant>
      <vt:variant>
        <vt:i4>1638451</vt:i4>
      </vt:variant>
      <vt:variant>
        <vt:i4>68</vt:i4>
      </vt:variant>
      <vt:variant>
        <vt:i4>0</vt:i4>
      </vt:variant>
      <vt:variant>
        <vt:i4>5</vt:i4>
      </vt:variant>
      <vt:variant>
        <vt:lpwstr/>
      </vt:variant>
      <vt:variant>
        <vt:lpwstr>_Toc274656093</vt:lpwstr>
      </vt:variant>
      <vt:variant>
        <vt:i4>1638451</vt:i4>
      </vt:variant>
      <vt:variant>
        <vt:i4>62</vt:i4>
      </vt:variant>
      <vt:variant>
        <vt:i4>0</vt:i4>
      </vt:variant>
      <vt:variant>
        <vt:i4>5</vt:i4>
      </vt:variant>
      <vt:variant>
        <vt:lpwstr/>
      </vt:variant>
      <vt:variant>
        <vt:lpwstr>_Toc274656092</vt:lpwstr>
      </vt:variant>
      <vt:variant>
        <vt:i4>1638451</vt:i4>
      </vt:variant>
      <vt:variant>
        <vt:i4>56</vt:i4>
      </vt:variant>
      <vt:variant>
        <vt:i4>0</vt:i4>
      </vt:variant>
      <vt:variant>
        <vt:i4>5</vt:i4>
      </vt:variant>
      <vt:variant>
        <vt:lpwstr/>
      </vt:variant>
      <vt:variant>
        <vt:lpwstr>_Toc274656091</vt:lpwstr>
      </vt:variant>
      <vt:variant>
        <vt:i4>1638451</vt:i4>
      </vt:variant>
      <vt:variant>
        <vt:i4>50</vt:i4>
      </vt:variant>
      <vt:variant>
        <vt:i4>0</vt:i4>
      </vt:variant>
      <vt:variant>
        <vt:i4>5</vt:i4>
      </vt:variant>
      <vt:variant>
        <vt:lpwstr/>
      </vt:variant>
      <vt:variant>
        <vt:lpwstr>_Toc274656090</vt:lpwstr>
      </vt:variant>
      <vt:variant>
        <vt:i4>1572915</vt:i4>
      </vt:variant>
      <vt:variant>
        <vt:i4>44</vt:i4>
      </vt:variant>
      <vt:variant>
        <vt:i4>0</vt:i4>
      </vt:variant>
      <vt:variant>
        <vt:i4>5</vt:i4>
      </vt:variant>
      <vt:variant>
        <vt:lpwstr/>
      </vt:variant>
      <vt:variant>
        <vt:lpwstr>_Toc274656089</vt:lpwstr>
      </vt:variant>
      <vt:variant>
        <vt:i4>1572915</vt:i4>
      </vt:variant>
      <vt:variant>
        <vt:i4>38</vt:i4>
      </vt:variant>
      <vt:variant>
        <vt:i4>0</vt:i4>
      </vt:variant>
      <vt:variant>
        <vt:i4>5</vt:i4>
      </vt:variant>
      <vt:variant>
        <vt:lpwstr/>
      </vt:variant>
      <vt:variant>
        <vt:lpwstr>_Toc274656088</vt:lpwstr>
      </vt:variant>
      <vt:variant>
        <vt:i4>1572915</vt:i4>
      </vt:variant>
      <vt:variant>
        <vt:i4>32</vt:i4>
      </vt:variant>
      <vt:variant>
        <vt:i4>0</vt:i4>
      </vt:variant>
      <vt:variant>
        <vt:i4>5</vt:i4>
      </vt:variant>
      <vt:variant>
        <vt:lpwstr/>
      </vt:variant>
      <vt:variant>
        <vt:lpwstr>_Toc274656087</vt:lpwstr>
      </vt:variant>
      <vt:variant>
        <vt:i4>1572915</vt:i4>
      </vt:variant>
      <vt:variant>
        <vt:i4>26</vt:i4>
      </vt:variant>
      <vt:variant>
        <vt:i4>0</vt:i4>
      </vt:variant>
      <vt:variant>
        <vt:i4>5</vt:i4>
      </vt:variant>
      <vt:variant>
        <vt:lpwstr/>
      </vt:variant>
      <vt:variant>
        <vt:lpwstr>_Toc274656086</vt:lpwstr>
      </vt:variant>
      <vt:variant>
        <vt:i4>1572915</vt:i4>
      </vt:variant>
      <vt:variant>
        <vt:i4>20</vt:i4>
      </vt:variant>
      <vt:variant>
        <vt:i4>0</vt:i4>
      </vt:variant>
      <vt:variant>
        <vt:i4>5</vt:i4>
      </vt:variant>
      <vt:variant>
        <vt:lpwstr/>
      </vt:variant>
      <vt:variant>
        <vt:lpwstr>_Toc274656085</vt:lpwstr>
      </vt:variant>
      <vt:variant>
        <vt:i4>1572915</vt:i4>
      </vt:variant>
      <vt:variant>
        <vt:i4>14</vt:i4>
      </vt:variant>
      <vt:variant>
        <vt:i4>0</vt:i4>
      </vt:variant>
      <vt:variant>
        <vt:i4>5</vt:i4>
      </vt:variant>
      <vt:variant>
        <vt:lpwstr/>
      </vt:variant>
      <vt:variant>
        <vt:lpwstr>_Toc274656084</vt:lpwstr>
      </vt:variant>
      <vt:variant>
        <vt:i4>1572915</vt:i4>
      </vt:variant>
      <vt:variant>
        <vt:i4>8</vt:i4>
      </vt:variant>
      <vt:variant>
        <vt:i4>0</vt:i4>
      </vt:variant>
      <vt:variant>
        <vt:i4>5</vt:i4>
      </vt:variant>
      <vt:variant>
        <vt:lpwstr/>
      </vt:variant>
      <vt:variant>
        <vt:lpwstr>_Toc274656083</vt:lpwstr>
      </vt:variant>
      <vt:variant>
        <vt:i4>1572915</vt:i4>
      </vt:variant>
      <vt:variant>
        <vt:i4>2</vt:i4>
      </vt:variant>
      <vt:variant>
        <vt:i4>0</vt:i4>
      </vt:variant>
      <vt:variant>
        <vt:i4>5</vt:i4>
      </vt:variant>
      <vt:variant>
        <vt:lpwstr/>
      </vt:variant>
      <vt:variant>
        <vt:lpwstr>_Toc274656082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México,  D</dc:title>
  <dc:creator>María del Carmen Peláz Acero</dc:creator>
  <cp:lastModifiedBy>Default</cp:lastModifiedBy>
  <cp:revision>23</cp:revision>
  <cp:lastPrinted>2010-10-12T20:15:00Z</cp:lastPrinted>
  <dcterms:created xsi:type="dcterms:W3CDTF">2011-01-12T00:41:00Z</dcterms:created>
  <dcterms:modified xsi:type="dcterms:W3CDTF">2011-01-24T20:16:00Z</dcterms:modified>
</cp:coreProperties>
</file>